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5"/>
        <w:jc w:val="center"/>
        <w:spacing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14400" cy="638175"/>
                <wp:effectExtent l="0" t="0" r="0" b="0"/>
                <wp:docPr id="1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9144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72.0pt;height:50.2pt;" stroked="f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pStyle w:val="815"/>
        <w:contextualSpacing/>
        <w:jc w:val="center"/>
        <w:spacing w:after="0" w:line="240" w:lineRule="auto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Instituto de Previdência dos Servidores Públicos do Município de Cariacica</w:t>
      </w:r>
      <w:r/>
    </w:p>
    <w:p>
      <w:pPr>
        <w:pStyle w:val="815"/>
        <w:contextualSpacing/>
        <w:jc w:val="both"/>
        <w:spacing w:after="0" w:line="240" w:lineRule="auto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____________________________________________________________________________</w:t>
      </w:r>
      <w:r/>
    </w:p>
    <w:p>
      <w:pPr>
        <w:pStyle w:val="815"/>
        <w:jc w:val="center"/>
        <w:spacing w:before="120" w:after="120" w:line="240" w:lineRule="auto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Ata da 31</w:t>
      </w:r>
      <w:r>
        <w:rPr>
          <w:rFonts w:ascii="Arial" w:hAnsi="Arial"/>
          <w:b/>
          <w:sz w:val="24"/>
          <w:szCs w:val="24"/>
        </w:rPr>
        <w:t xml:space="preserve">ª</w:t>
      </w:r>
      <w:r>
        <w:rPr>
          <w:rFonts w:ascii="Arial" w:hAnsi="Arial"/>
          <w:b/>
          <w:sz w:val="24"/>
          <w:szCs w:val="24"/>
        </w:rPr>
        <w:t xml:space="preserve"> Reunião Ordinária do Comitê de Investimentos</w:t>
      </w:r>
      <w:r/>
    </w:p>
    <w:p>
      <w:pPr>
        <w:pStyle w:val="815"/>
        <w:jc w:val="both"/>
        <w:spacing w:after="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Aos oito dias </w:t>
      </w:r>
      <w:r>
        <w:rPr>
          <w:rFonts w:ascii="Arial" w:hAnsi="Arial"/>
          <w:sz w:val="24"/>
          <w:szCs w:val="24"/>
        </w:rPr>
        <w:t xml:space="preserve">do mês de setembro </w:t>
      </w:r>
      <w:r>
        <w:rPr>
          <w:rFonts w:ascii="Arial" w:hAnsi="Arial"/>
          <w:sz w:val="24"/>
          <w:szCs w:val="24"/>
        </w:rPr>
        <w:t xml:space="preserve">de </w:t>
      </w:r>
      <w:r>
        <w:rPr>
          <w:rFonts w:ascii="Arial" w:hAnsi="Arial"/>
          <w:sz w:val="24"/>
          <w:szCs w:val="24"/>
        </w:rPr>
        <w:t xml:space="preserve">2022 </w:t>
      </w:r>
      <w:r>
        <w:rPr>
          <w:rFonts w:ascii="Arial" w:hAnsi="Arial"/>
          <w:sz w:val="24"/>
          <w:szCs w:val="24"/>
        </w:rPr>
        <w:t xml:space="preserve">às 11</w:t>
      </w:r>
      <w:r>
        <w:rPr>
          <w:rFonts w:ascii="Arial" w:hAnsi="Arial"/>
          <w:sz w:val="24"/>
          <w:szCs w:val="24"/>
        </w:rPr>
        <w:t xml:space="preserve">:</w:t>
      </w:r>
      <w:r>
        <w:rPr>
          <w:rFonts w:ascii="Arial" w:hAnsi="Arial"/>
          <w:sz w:val="24"/>
          <w:szCs w:val="24"/>
        </w:rPr>
        <w:t xml:space="preserve">00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horas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reuniram-se os membros do Comitê de Investimentos para reunião ordinária. </w:t>
      </w:r>
      <w:r>
        <w:rPr>
          <w:rFonts w:ascii="Arial" w:hAnsi="Arial"/>
          <w:sz w:val="24"/>
          <w:szCs w:val="24"/>
        </w:rPr>
        <w:t xml:space="preserve">Fizeram-se presentes os membros </w:t>
      </w:r>
      <w:r>
        <w:rPr>
          <w:rFonts w:ascii="Arial" w:hAnsi="Arial"/>
          <w:sz w:val="24"/>
          <w:szCs w:val="24"/>
        </w:rPr>
        <w:t xml:space="preserve">Rodrigo Garcia Giori, Juliana de Lima Silva Rod</w:t>
      </w:r>
      <w:r>
        <w:rPr>
          <w:rFonts w:ascii="Arial" w:hAnsi="Arial"/>
          <w:sz w:val="24"/>
          <w:szCs w:val="24"/>
        </w:rPr>
        <w:t xml:space="preserve">rigues, Paulo Henrique da Costa Sil</w:t>
      </w:r>
      <w:r>
        <w:rPr>
          <w:rFonts w:ascii="Arial" w:hAnsi="Arial"/>
          <w:sz w:val="24"/>
          <w:szCs w:val="24"/>
        </w:rPr>
        <w:t xml:space="preserve">va Matos</w:t>
      </w:r>
      <w:r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</w:rPr>
        <w:t xml:space="preserve">Jean Felipe </w:t>
      </w:r>
      <w:r>
        <w:rPr>
          <w:rFonts w:ascii="Arial" w:hAnsi="Arial"/>
          <w:sz w:val="24"/>
          <w:szCs w:val="24"/>
        </w:rPr>
        <w:t xml:space="preserve">Nunes Anunciação</w:t>
      </w:r>
      <w:r>
        <w:rPr>
          <w:rFonts w:ascii="Arial" w:hAnsi="Arial"/>
          <w:sz w:val="24"/>
          <w:szCs w:val="24"/>
        </w:rPr>
        <w:t xml:space="preserve"> e E</w:t>
      </w:r>
      <w:r>
        <w:rPr>
          <w:rFonts w:ascii="Arial" w:hAnsi="Arial"/>
          <w:sz w:val="24"/>
          <w:szCs w:val="24"/>
        </w:rPr>
        <w:t xml:space="preserve">liane Santana Tavares</w:t>
      </w:r>
      <w:r>
        <w:rPr>
          <w:rFonts w:ascii="Arial" w:hAnsi="Arial"/>
          <w:sz w:val="24"/>
          <w:szCs w:val="24"/>
        </w:rPr>
        <w:t xml:space="preserve">.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A pauta é </w:t>
      </w:r>
      <w:r>
        <w:rPr>
          <w:rFonts w:ascii="Arial" w:hAnsi="Arial"/>
          <w:b/>
          <w:sz w:val="24"/>
          <w:szCs w:val="24"/>
        </w:rPr>
        <w:t xml:space="preserve">(i)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leitura e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aprovação da ata da 30</w:t>
      </w:r>
      <w:r>
        <w:rPr>
          <w:rFonts w:ascii="Arial" w:hAnsi="Arial"/>
          <w:sz w:val="24"/>
          <w:szCs w:val="24"/>
        </w:rPr>
        <w:t xml:space="preserve">ª</w:t>
      </w:r>
      <w:r>
        <w:rPr>
          <w:rFonts w:ascii="Arial" w:hAnsi="Arial"/>
          <w:sz w:val="24"/>
          <w:szCs w:val="24"/>
        </w:rPr>
        <w:t xml:space="preserve"> reunião ordinária do Comitê</w:t>
      </w:r>
      <w:r>
        <w:rPr>
          <w:rFonts w:ascii="Arial" w:hAnsi="Arial"/>
          <w:sz w:val="24"/>
          <w:szCs w:val="24"/>
        </w:rPr>
        <w:t xml:space="preserve"> de Investimento;</w:t>
      </w:r>
      <w:r>
        <w:rPr>
          <w:rFonts w:ascii="Arial" w:hAnsi="Arial"/>
          <w:b/>
          <w:sz w:val="24"/>
          <w:szCs w:val="24"/>
        </w:rPr>
        <w:t xml:space="preserve"> (ii)</w:t>
      </w:r>
      <w:r>
        <w:rPr>
          <w:rFonts w:ascii="Arial" w:hAnsi="Arial"/>
          <w:sz w:val="24"/>
          <w:szCs w:val="24"/>
          <w:highlight w:val="none"/>
        </w:rPr>
        <w:t xml:space="preserve"> alocação de recursos de contribuição previdenciária repassados pelo Executivo Municipal; </w:t>
      </w:r>
      <w:r>
        <w:rPr>
          <w:rFonts w:ascii="Arial" w:hAnsi="Arial"/>
          <w:b/>
          <w:sz w:val="24"/>
          <w:szCs w:val="24"/>
          <w:highlight w:val="none"/>
        </w:rPr>
        <w:t xml:space="preserve">(iii)</w:t>
      </w:r>
      <w:r>
        <w:rPr>
          <w:rFonts w:ascii="Arial" w:hAnsi="Arial"/>
          <w:b w:val="0"/>
          <w:sz w:val="24"/>
          <w:szCs w:val="24"/>
          <w:highlight w:val="none"/>
        </w:rPr>
        <w:t xml:space="preserve"> assuntos gerais. </w:t>
      </w:r>
      <w:r>
        <w:rPr>
          <w:rFonts w:ascii="Arial" w:hAnsi="Arial"/>
          <w:sz w:val="24"/>
          <w:szCs w:val="24"/>
        </w:rPr>
        <w:t xml:space="preserve">Ressalta-se </w:t>
      </w:r>
      <w:r>
        <w:rPr>
          <w:rFonts w:ascii="Arial" w:hAnsi="Arial"/>
          <w:sz w:val="24"/>
          <w:szCs w:val="24"/>
        </w:rPr>
        <w:t xml:space="preserve">que as atividades elencadas nesta ata estão diretamente ligadas ao rol de atividades desempenhadas pelo Comitê de Investimentos descritas no Plano de Trabalho do Comitê para o ano de 202</w:t>
      </w:r>
      <w:r>
        <w:rPr>
          <w:rFonts w:ascii="Arial" w:hAnsi="Arial"/>
          <w:sz w:val="24"/>
          <w:szCs w:val="24"/>
        </w:rPr>
        <w:t xml:space="preserve">2</w:t>
      </w:r>
      <w:r>
        <w:rPr>
          <w:rFonts w:ascii="Arial" w:hAnsi="Arial"/>
          <w:sz w:val="24"/>
          <w:szCs w:val="24"/>
        </w:rPr>
        <w:t xml:space="preserve">.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Quanto ao </w:t>
      </w:r>
      <w:r>
        <w:rPr>
          <w:rFonts w:ascii="Arial" w:hAnsi="Arial"/>
          <w:b/>
          <w:sz w:val="24"/>
          <w:szCs w:val="24"/>
        </w:rPr>
        <w:t xml:space="preserve">item (i) </w:t>
      </w:r>
      <w:r>
        <w:rPr>
          <w:rFonts w:ascii="Arial" w:hAnsi="Arial"/>
          <w:sz w:val="24"/>
          <w:szCs w:val="24"/>
        </w:rPr>
        <w:t xml:space="preserve">a Presidente fez a abertura da reunião e a leitura da </w:t>
      </w:r>
      <w:r>
        <w:rPr>
          <w:rFonts w:ascii="Arial" w:hAnsi="Arial"/>
          <w:sz w:val="24"/>
          <w:szCs w:val="24"/>
        </w:rPr>
        <w:t xml:space="preserve">ata da 30</w:t>
      </w:r>
      <w:r>
        <w:rPr>
          <w:rFonts w:ascii="Arial" w:hAnsi="Arial"/>
          <w:sz w:val="24"/>
          <w:szCs w:val="24"/>
        </w:rPr>
        <w:t xml:space="preserve">ª reunião ordinária do Comitê de Investimentos. Nada tendo os demais membros a acrescentar ou alterar a ata foi aprovada</w:t>
      </w:r>
      <w:r>
        <w:rPr>
          <w:rFonts w:ascii="Arial" w:hAnsi="Arial"/>
          <w:sz w:val="24"/>
          <w:szCs w:val="24"/>
        </w:rPr>
        <w:t xml:space="preserve">. </w:t>
      </w:r>
      <w:r>
        <w:rPr>
          <w:rFonts w:ascii="Arial" w:hAnsi="Arial"/>
          <w:sz w:val="24"/>
          <w:szCs w:val="24"/>
        </w:rPr>
        <w:t xml:space="preserve">Quanto ao </w:t>
      </w:r>
      <w:r>
        <w:rPr>
          <w:rFonts w:ascii="Arial" w:hAnsi="Arial"/>
          <w:b/>
          <w:sz w:val="24"/>
          <w:szCs w:val="24"/>
        </w:rPr>
        <w:t xml:space="preserve">item (ii)</w:t>
      </w:r>
      <w:r>
        <w:rPr>
          <w:rFonts w:ascii="Arial" w:hAnsi="Arial"/>
          <w:sz w:val="24"/>
          <w:szCs w:val="24"/>
        </w:rPr>
        <w:t xml:space="preserve"> a Presidente informou que o valor a ser alocado é de R$ 4.038.437,19 (quatro milhões, trinta e oito mil, quatrocentos e trinta e sete reais e dezenove centavos). Assim, seguindo a Política de Investimentos e aproveitando a </w:t>
      </w:r>
      <w:r>
        <w:rPr>
          <w:rFonts w:ascii="Arial" w:hAnsi="Arial"/>
          <w:sz w:val="24"/>
          <w:szCs w:val="24"/>
        </w:rPr>
        <w:t xml:space="preserve">janela de oportunidades lançadas com a alta da taxa Selic o Comitê decidiu por alocar todo o recurso na compra de títulos públicos, como vem fazendo ao longo de 2022. A Presidente irá verificar títulos, taxas e vencimentos e realizar a compra dos títulos. </w:t>
      </w:r>
      <w:r>
        <w:rPr>
          <w:rFonts w:ascii="Arial" w:hAnsi="Arial"/>
          <w:sz w:val="24"/>
          <w:szCs w:val="24"/>
        </w:rPr>
        <w:t xml:space="preserve">Quanto ao </w:t>
      </w:r>
      <w:r>
        <w:rPr>
          <w:rFonts w:ascii="Arial" w:hAnsi="Arial"/>
          <w:b/>
          <w:sz w:val="24"/>
          <w:szCs w:val="24"/>
        </w:rPr>
        <w:t xml:space="preserve">item (iii) </w:t>
      </w:r>
      <w:r>
        <w:rPr>
          <w:rFonts w:ascii="Arial" w:hAnsi="Arial"/>
          <w:b w:val="0"/>
          <w:sz w:val="24"/>
          <w:szCs w:val="24"/>
        </w:rPr>
        <w:t xml:space="preserve">o membro Jean relatou sobre sua aprovação na prova de Certificação Nível Básico para o Comitê de Investimentos. Disse que foi aprovado com aproximadamente 70% de aprovação, sendo o mínimo 50%, </w:t>
      </w:r>
      <w:r>
        <w:rPr>
          <w:rFonts w:ascii="Arial" w:hAnsi="Arial"/>
          <w:b w:val="0"/>
          <w:sz w:val="24"/>
          <w:szCs w:val="24"/>
        </w:rPr>
        <w:t xml:space="preserve">porém a prova estava mais difícil do que havia imaginado e superior aos simulados que realizou. Nesse sentido a Presidente alertou aos demais membros a necessidade de realização da prova de certificação o mais breve possível. A Presidente chamou a atenção </w:t>
      </w:r>
      <w:r>
        <w:rPr>
          <w:rFonts w:ascii="Arial" w:hAnsi="Arial"/>
          <w:sz w:val="24"/>
          <w:szCs w:val="24"/>
          <w:highlight w:val="none"/>
        </w:rPr>
        <w:t xml:space="preserve">também para a divulgação do IPCA de agosto que deve ocorrer amanhã, 09/09/2022, com previsão de deflação de aproximadamente 0,35%, o que terá impacto positivo na carteira, já que o mês de agos</w:t>
      </w:r>
      <w:r>
        <w:rPr>
          <w:rFonts w:ascii="Arial" w:hAnsi="Arial"/>
          <w:sz w:val="24"/>
          <w:szCs w:val="24"/>
          <w:highlight w:val="none"/>
        </w:rPr>
        <w:t xml:space="preserve">to foi um bom mês de rentabilidade. O membro Rodrigo relatou que a previsão do IPCA divulgado pelo Banco Central (Relatório Focus) vem caindo e o último relatório (02/09/2022) estava em 6,61% para 2022 e isso impacta de forma positiva na meta atuarial do Instituto. </w:t>
      </w:r>
      <w:r>
        <w:rPr>
          <w:rFonts w:ascii="Arial" w:hAnsi="Arial"/>
          <w:sz w:val="24"/>
          <w:szCs w:val="24"/>
        </w:rPr>
        <w:t xml:space="preserve">S</w:t>
      </w:r>
      <w:r>
        <w:rPr>
          <w:rFonts w:ascii="Arial" w:hAnsi="Arial"/>
          <w:sz w:val="24"/>
          <w:szCs w:val="24"/>
        </w:rPr>
        <w:t xml:space="preserve">em mais a discutir, relatar ou deliberar, a Presidente encerrou a reunião e eu, Rodrigo Garcia Giori, lavro a presente ata que por mim será assinada juntamente com os demais membros desse C</w:t>
      </w:r>
      <w:r>
        <w:rPr>
          <w:rFonts w:ascii="Arial" w:hAnsi="Arial"/>
          <w:sz w:val="24"/>
          <w:szCs w:val="24"/>
        </w:rPr>
        <w:t xml:space="preserve">omitê. A reunião encerrou-se às 13:00</w:t>
      </w:r>
      <w:r>
        <w:rPr>
          <w:rFonts w:ascii="Arial" w:hAnsi="Arial"/>
          <w:sz w:val="24"/>
          <w:szCs w:val="24"/>
        </w:rPr>
        <w:t xml:space="preserve"> horas. </w:t>
      </w:r>
      <w:r>
        <w:rPr>
          <w:rFonts w:ascii="Arial" w:hAnsi="Arial"/>
          <w:sz w:val="24"/>
          <w:szCs w:val="24"/>
        </w:rPr>
      </w:r>
      <w:r/>
    </w:p>
    <w:p>
      <w:pPr>
        <w:pStyle w:val="815"/>
        <w:jc w:val="both"/>
        <w:spacing w:after="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  <w:r/>
    </w:p>
    <w:p>
      <w:pPr>
        <w:pStyle w:val="815"/>
        <w:jc w:val="both"/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</w:r>
      <w:r/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/>
          <w:sz w:val="24"/>
          <w:szCs w:val="24"/>
          <w:lang w:eastAsia="pt-BR"/>
        </w:rPr>
      </w:r>
      <w:r>
        <w:rPr>
          <w:rFonts w:ascii="Times New Roman" w:hAnsi="Times New Roman" w:eastAsia="Times New Roman"/>
          <w:sz w:val="24"/>
          <w:szCs w:val="24"/>
          <w:lang w:eastAsia="pt-BR"/>
        </w:rPr>
      </w:r>
      <w:r/>
    </w:p>
    <w:p>
      <w:pPr>
        <w:pStyle w:val="815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/>
          <w:sz w:val="24"/>
          <w:szCs w:val="24"/>
          <w:lang w:eastAsia="pt-BR"/>
        </w:rPr>
      </w:r>
      <w:r/>
    </w:p>
    <w:tbl>
      <w:tblPr>
        <w:tblpPr w:horzAnchor="margin" w:tblpXSpec="center" w:vertAnchor="text" w:tblpY="77" w:leftFromText="141" w:topFromText="0" w:rightFromText="141" w:bottomFromText="0"/>
        <w:tblW w:w="5277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666"/>
        <w:gridCol w:w="5331"/>
      </w:tblGrid>
      <w:tr>
        <w:trPr>
          <w:trHeight w:val="56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76" w:type="pct"/>
            <w:vAlign w:val="top"/>
            <w:textDirection w:val="lrTb"/>
            <w:noWrap w:val="false"/>
          </w:tcPr>
          <w:p>
            <w:pPr>
              <w:pStyle w:val="815"/>
              <w:ind w:left="250"/>
              <w:jc w:val="center"/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  <w:framePr w:hSpace="141" w:wrap="around" w:vAnchor="text" w:hAnchor="margin" w:xAlign="center" w:y="77"/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Paulo Henrique da Costa e Silva Matos</w:t>
            </w:r>
            <w:r/>
          </w:p>
          <w:p>
            <w:pPr>
              <w:pStyle w:val="815"/>
              <w:ind w:left="250"/>
              <w:jc w:val="center"/>
              <w:spacing w:after="0" w:line="240" w:lineRule="auto"/>
              <w:rPr>
                <w:rFonts w:ascii="Arial" w:hAnsi="Arial" w:eastAsia="Times New Roman"/>
                <w:b/>
                <w:lang w:eastAsia="pt-BR"/>
              </w:rPr>
              <w:framePr w:hSpace="141" w:wrap="around" w:vAnchor="text" w:hAnchor="margin" w:xAlign="center" w:y="77"/>
            </w:pPr>
            <w:r>
              <w:rPr>
                <w:rFonts w:ascii="Arial" w:hAnsi="Arial"/>
              </w:rPr>
              <w:t xml:space="preserve">Gestor Certificado CPA 10</w:t>
            </w:r>
            <w:r>
              <w:rPr>
                <w:rFonts w:ascii="Arial" w:hAnsi="Arial" w:eastAsia="Times New Roman"/>
                <w:b/>
                <w:lang w:eastAsia="pt-BR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24" w:type="pct"/>
            <w:vAlign w:val="top"/>
            <w:textDirection w:val="lrTb"/>
            <w:noWrap w:val="false"/>
          </w:tcPr>
          <w:p>
            <w:pPr>
              <w:pStyle w:val="815"/>
              <w:jc w:val="center"/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  <w:framePr w:hSpace="141" w:wrap="around" w:vAnchor="text" w:hAnchor="margin" w:xAlign="center" w:y="77"/>
            </w:pPr>
            <w:r>
              <w:rPr>
                <w:rFonts w:ascii="Arial" w:hAnsi="Arial" w:eastAsia="Times New Roman"/>
                <w:b/>
                <w:sz w:val="24"/>
                <w:szCs w:val="24"/>
                <w:lang w:eastAsia="pt-BR"/>
              </w:rPr>
              <w:t xml:space="preserve">Jean Felipe Nunes Anunciação</w:t>
            </w:r>
            <w:r>
              <w:rPr>
                <w:rFonts w:ascii="Arial" w:hAnsi="Arial"/>
                <w:b/>
                <w:sz w:val="24"/>
                <w:szCs w:val="24"/>
              </w:rPr>
            </w:r>
            <w:r/>
          </w:p>
          <w:p>
            <w:pPr>
              <w:pStyle w:val="815"/>
              <w:jc w:val="center"/>
              <w:spacing w:after="0" w:line="240" w:lineRule="auto"/>
              <w:rPr>
                <w:rFonts w:ascii="Arial" w:hAnsi="Arial" w:eastAsia="Times New Roman"/>
                <w:b/>
                <w:lang w:eastAsia="pt-BR"/>
              </w:rPr>
              <w:framePr w:hSpace="141" w:wrap="around" w:vAnchor="text" w:hAnchor="margin" w:xAlign="center" w:y="77"/>
            </w:pPr>
            <w:r>
              <w:rPr>
                <w:rFonts w:ascii="Arial" w:hAnsi="Arial"/>
              </w:rPr>
              <w:t xml:space="preserve">Gestor Certificado CPA 10</w:t>
            </w:r>
            <w:r>
              <w:rPr>
                <w:rFonts w:ascii="Arial" w:hAnsi="Arial" w:eastAsia="Times New Roman"/>
                <w:b/>
                <w:lang w:eastAsia="pt-BR"/>
              </w:rPr>
            </w:r>
            <w:r/>
          </w:p>
        </w:tc>
      </w:tr>
    </w:tbl>
    <w:p>
      <w:pPr>
        <w:pStyle w:val="815"/>
        <w:contextualSpacing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/>
          <w:sz w:val="24"/>
          <w:szCs w:val="24"/>
          <w:lang w:eastAsia="pt-BR"/>
        </w:rPr>
      </w:r>
      <w:r/>
    </w:p>
    <w:p>
      <w:pPr>
        <w:contextualSpacing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/>
          <w:sz w:val="24"/>
          <w:szCs w:val="24"/>
          <w:lang w:eastAsia="pt-BR"/>
        </w:rPr>
      </w:r>
      <w:r>
        <w:rPr>
          <w:rFonts w:ascii="Times New Roman" w:hAnsi="Times New Roman" w:eastAsia="Times New Roman"/>
          <w:sz w:val="24"/>
          <w:szCs w:val="24"/>
          <w:lang w:eastAsia="pt-BR"/>
        </w:rPr>
      </w:r>
      <w:r/>
    </w:p>
    <w:p>
      <w:pPr>
        <w:pStyle w:val="815"/>
        <w:contextualSpacing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/>
          <w:sz w:val="24"/>
          <w:szCs w:val="24"/>
          <w:lang w:eastAsia="pt-BR"/>
        </w:rPr>
      </w:r>
      <w:r/>
    </w:p>
    <w:p>
      <w:pPr>
        <w:pStyle w:val="815"/>
        <w:contextualSpacing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/>
          <w:sz w:val="24"/>
          <w:szCs w:val="24"/>
          <w:lang w:eastAsia="pt-BR"/>
        </w:rPr>
      </w:r>
      <w:r/>
    </w:p>
    <w:tbl>
      <w:tblPr>
        <w:tblpPr w:horzAnchor="margin" w:tblpXSpec="center" w:vertAnchor="text" w:tblpY="77" w:leftFromText="141" w:topFromText="0" w:rightFromText="141" w:bottomFromText="0"/>
        <w:tblW w:w="5306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697"/>
        <w:gridCol w:w="5361"/>
      </w:tblGrid>
      <w:tr>
        <w:trPr>
          <w:trHeight w:val="18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76" w:type="pct"/>
            <w:vAlign w:val="top"/>
            <w:textDirection w:val="lrTb"/>
            <w:noWrap w:val="false"/>
          </w:tcPr>
          <w:p>
            <w:pPr>
              <w:pStyle w:val="815"/>
              <w:contextualSpacing/>
              <w:jc w:val="center"/>
              <w:spacing w:after="0" w:line="240" w:lineRule="auto"/>
              <w:rPr>
                <w:rFonts w:ascii="Arial" w:hAnsi="Arial"/>
                <w:b/>
                <w:sz w:val="23"/>
                <w:szCs w:val="23"/>
              </w:rPr>
              <w:framePr w:hSpace="141" w:wrap="around" w:vAnchor="text" w:hAnchor="margin" w:xAlign="center" w:y="77"/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Eliane Santana Tavares</w:t>
            </w:r>
            <w:r>
              <w:rPr>
                <w:rFonts w:ascii="Arial" w:hAnsi="Arial"/>
                <w:b/>
                <w:sz w:val="23"/>
                <w:szCs w:val="23"/>
              </w:rPr>
            </w:r>
            <w:r/>
          </w:p>
          <w:p>
            <w:pPr>
              <w:pStyle w:val="815"/>
              <w:jc w:val="center"/>
              <w:spacing w:after="0" w:line="240" w:lineRule="auto"/>
              <w:rPr>
                <w:rFonts w:ascii="Arial" w:hAnsi="Arial"/>
              </w:rPr>
              <w:framePr w:hSpace="141" w:wrap="around" w:vAnchor="text" w:hAnchor="margin" w:xAlign="center" w:y="77"/>
            </w:pPr>
            <w:r>
              <w:rPr>
                <w:rFonts w:ascii="Arial" w:hAnsi="Arial"/>
              </w:rPr>
              <w:t xml:space="preserve">Gestor Certificado CPA</w:t>
            </w:r>
            <w:r>
              <w:rPr>
                <w:rFonts w:ascii="Arial" w:hAnsi="Arial"/>
              </w:rPr>
              <w:t xml:space="preserve"> 10</w:t>
            </w:r>
            <w:r/>
          </w:p>
          <w:p>
            <w:pPr>
              <w:pStyle w:val="815"/>
              <w:jc w:val="center"/>
              <w:spacing w:after="0" w:line="240" w:lineRule="auto"/>
              <w:rPr>
                <w:rFonts w:ascii="Arial" w:hAnsi="Arial"/>
              </w:rPr>
              <w:framePr w:hSpace="141" w:wrap="around" w:vAnchor="text" w:hAnchor="margin" w:xAlign="center" w:y="77"/>
            </w:pPr>
            <w:r>
              <w:rPr>
                <w:rFonts w:ascii="Arial" w:hAnsi="Arial"/>
              </w:rPr>
            </w:r>
            <w:r/>
          </w:p>
          <w:p>
            <w:pPr>
              <w:pStyle w:val="815"/>
              <w:jc w:val="center"/>
              <w:spacing w:after="0" w:line="240" w:lineRule="auto"/>
              <w:rPr>
                <w:rFonts w:ascii="Arial" w:hAnsi="Arial"/>
              </w:rPr>
              <w:framePr w:hSpace="141" w:wrap="around" w:vAnchor="text" w:hAnchor="margin" w:xAlign="center" w:y="77"/>
            </w:pPr>
            <w:r>
              <w:rPr>
                <w:rFonts w:ascii="Arial" w:hAnsi="Arial"/>
              </w:rPr>
            </w:r>
            <w:r/>
          </w:p>
          <w:p>
            <w:pPr>
              <w:pStyle w:val="815"/>
              <w:jc w:val="center"/>
              <w:spacing w:after="0" w:line="240" w:lineRule="auto"/>
              <w:rPr>
                <w:rFonts w:ascii="Arial" w:hAnsi="Arial" w:eastAsia="Times New Roman"/>
                <w:b/>
                <w:lang w:eastAsia="pt-BR"/>
              </w:rPr>
              <w:framePr w:hSpace="141" w:wrap="around" w:vAnchor="text" w:hAnchor="margin" w:xAlign="center" w:y="77"/>
            </w:pPr>
            <w:r>
              <w:rPr>
                <w:rFonts w:ascii="Arial" w:hAnsi="Arial" w:eastAsia="Times New Roman"/>
                <w:b/>
                <w:lang w:eastAsia="pt-BR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24" w:type="pct"/>
            <w:vAlign w:val="top"/>
            <w:textDirection w:val="lrTb"/>
            <w:noWrap w:val="false"/>
          </w:tcPr>
          <w:p>
            <w:pPr>
              <w:pStyle w:val="815"/>
              <w:contextualSpacing/>
              <w:jc w:val="center"/>
              <w:spacing w:after="0" w:line="240" w:lineRule="auto"/>
              <w:rPr>
                <w:rFonts w:ascii="Arial" w:hAnsi="Arial"/>
                <w:b/>
                <w:sz w:val="23"/>
                <w:szCs w:val="23"/>
              </w:rPr>
              <w:framePr w:hSpace="141" w:wrap="around" w:vAnchor="text" w:hAnchor="margin" w:xAlign="center" w:y="77"/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Rodrigo Garcia Giori</w:t>
            </w:r>
            <w:r>
              <w:rPr>
                <w:rFonts w:ascii="Arial" w:hAnsi="Arial"/>
                <w:b/>
                <w:sz w:val="23"/>
                <w:szCs w:val="23"/>
              </w:rPr>
            </w:r>
            <w:r/>
          </w:p>
          <w:p>
            <w:pPr>
              <w:pStyle w:val="815"/>
              <w:jc w:val="center"/>
              <w:spacing w:after="0" w:line="240" w:lineRule="auto"/>
              <w:rPr>
                <w:rFonts w:ascii="Arial" w:hAnsi="Arial"/>
              </w:rPr>
              <w:framePr w:hSpace="141" w:wrap="around" w:vAnchor="text" w:hAnchor="margin" w:xAlign="center" w:y="77"/>
            </w:pPr>
            <w:r>
              <w:rPr>
                <w:rFonts w:ascii="Arial" w:hAnsi="Arial"/>
              </w:rPr>
              <w:t xml:space="preserve">Gestor Certificado CPA </w:t>
            </w:r>
            <w:r>
              <w:rPr>
                <w:rFonts w:ascii="Arial" w:hAnsi="Arial"/>
              </w:rPr>
              <w:t xml:space="preserve">20</w:t>
            </w:r>
            <w:r/>
          </w:p>
          <w:p>
            <w:pPr>
              <w:pStyle w:val="815"/>
              <w:jc w:val="center"/>
              <w:spacing w:after="0" w:line="240" w:lineRule="auto"/>
              <w:rPr>
                <w:rFonts w:ascii="Arial" w:hAnsi="Arial" w:eastAsia="Times New Roman"/>
                <w:b/>
                <w:lang w:eastAsia="pt-BR"/>
              </w:rPr>
              <w:framePr w:hSpace="141" w:wrap="around" w:vAnchor="text" w:hAnchor="margin" w:xAlign="center" w:y="77"/>
            </w:pPr>
            <w:r>
              <w:rPr>
                <w:rFonts w:ascii="Arial" w:hAnsi="Arial" w:eastAsia="Times New Roman"/>
                <w:b/>
                <w:lang w:eastAsia="pt-BR"/>
              </w:rPr>
            </w:r>
            <w:r/>
          </w:p>
        </w:tc>
      </w:tr>
    </w:tbl>
    <w:p>
      <w:pPr>
        <w:pStyle w:val="815"/>
        <w:contextualSpacing/>
        <w:jc w:val="center"/>
        <w:spacing w:after="0" w:line="240" w:lineRule="auto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</w:r>
      <w:r/>
    </w:p>
    <w:p>
      <w:pPr>
        <w:pStyle w:val="815"/>
        <w:contextualSpacing/>
        <w:jc w:val="center"/>
        <w:spacing w:after="0" w:line="240" w:lineRule="auto"/>
        <w:rPr>
          <w:rFonts w:ascii="Arial" w:hAnsi="Arial"/>
          <w:sz w:val="23"/>
          <w:szCs w:val="23"/>
        </w:rPr>
      </w:pPr>
      <w:r>
        <w:rPr>
          <w:rFonts w:ascii="Arial" w:hAnsi="Arial"/>
          <w:b/>
          <w:sz w:val="24"/>
          <w:szCs w:val="24"/>
        </w:rPr>
        <w:t xml:space="preserve">Juliana de Lima Silva Rodrigues </w:t>
      </w:r>
      <w:r>
        <w:rPr>
          <w:rFonts w:ascii="Arial" w:hAnsi="Arial"/>
          <w:sz w:val="23"/>
          <w:szCs w:val="23"/>
        </w:rPr>
      </w:r>
      <w:r/>
    </w:p>
    <w:p>
      <w:pPr>
        <w:pStyle w:val="815"/>
        <w:contextualSpacing/>
        <w:jc w:val="center"/>
        <w:spacing w:after="0" w:line="240" w:lineRule="auto"/>
        <w:rPr>
          <w:rFonts w:ascii="Arial" w:hAnsi="Arial" w:eastAsia="Times New Roman"/>
          <w:lang w:eastAsia="pt-BR"/>
        </w:rPr>
      </w:pPr>
      <w:r>
        <w:rPr>
          <w:rFonts w:ascii="Arial" w:hAnsi="Arial" w:eastAsia="Times New Roman"/>
          <w:lang w:eastAsia="pt-BR"/>
        </w:rPr>
        <w:t xml:space="preserve">Presidente do Comitê de Investimentos</w:t>
      </w:r>
      <w:r/>
    </w:p>
    <w:p>
      <w:pPr>
        <w:pStyle w:val="815"/>
        <w:jc w:val="center"/>
        <w:spacing w:after="0" w:line="240" w:lineRule="auto"/>
        <w:rPr>
          <w:rFonts w:ascii="Arial" w:hAnsi="Arial"/>
        </w:rPr>
      </w:pPr>
      <w:r>
        <w:rPr>
          <w:rFonts w:ascii="Arial" w:hAnsi="Arial"/>
        </w:rPr>
        <w:t xml:space="preserve">Gestor Certificado CPA 20</w:t>
      </w:r>
      <w:r/>
    </w:p>
    <w:sectPr>
      <w:footnotePr/>
      <w:endnotePr/>
      <w:type w:val="nextPage"/>
      <w:pgSz w:w="11906" w:h="16838" w:orient="portrait"/>
      <w:pgMar w:top="284" w:right="851" w:bottom="249" w:left="85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Wingdings">
    <w:panose1 w:val="05000000000000000000"/>
  </w:font>
  <w:font w:name="Liberation Sans">
    <w:panose1 w:val="020B0604020202020204"/>
  </w:font>
  <w:font w:name="Tahoma">
    <w:panose1 w:val="020B0604030504040204"/>
  </w:font>
  <w:font w:name="Calibri Light">
    <w:panose1 w:val="020F0302020204030204"/>
  </w:font>
  <w:font w:name="Microsoft YaHei">
    <w:panose1 w:val="020B05030202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15"/>
        <w:ind w:left="360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15"/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815"/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815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15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15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15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15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15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15"/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5"/>
    <w:next w:val="815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39">
    <w:name w:val="Heading 1 Char"/>
    <w:link w:val="638"/>
    <w:uiPriority w:val="9"/>
    <w:rPr>
      <w:rFonts w:ascii="Arial" w:hAnsi="Arial" w:cs="Arial" w:eastAsia="Arial"/>
      <w:sz w:val="40"/>
      <w:szCs w:val="40"/>
    </w:rPr>
  </w:style>
  <w:style w:type="paragraph" w:styleId="640">
    <w:name w:val="Heading 2"/>
    <w:basedOn w:val="815"/>
    <w:next w:val="815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41">
    <w:name w:val="Heading 2 Char"/>
    <w:link w:val="640"/>
    <w:uiPriority w:val="9"/>
    <w:rPr>
      <w:rFonts w:ascii="Arial" w:hAnsi="Arial" w:cs="Arial" w:eastAsia="Arial"/>
      <w:sz w:val="34"/>
    </w:rPr>
  </w:style>
  <w:style w:type="paragraph" w:styleId="642">
    <w:name w:val="Heading 3"/>
    <w:basedOn w:val="815"/>
    <w:next w:val="815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43">
    <w:name w:val="Heading 3 Char"/>
    <w:link w:val="642"/>
    <w:uiPriority w:val="9"/>
    <w:rPr>
      <w:rFonts w:ascii="Arial" w:hAnsi="Arial" w:cs="Arial" w:eastAsia="Arial"/>
      <w:sz w:val="30"/>
      <w:szCs w:val="30"/>
    </w:rPr>
  </w:style>
  <w:style w:type="paragraph" w:styleId="644">
    <w:name w:val="Heading 4"/>
    <w:basedOn w:val="815"/>
    <w:next w:val="815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45">
    <w:name w:val="Heading 4 Char"/>
    <w:link w:val="644"/>
    <w:uiPriority w:val="9"/>
    <w:rPr>
      <w:rFonts w:ascii="Arial" w:hAnsi="Arial" w:cs="Arial" w:eastAsia="Arial"/>
      <w:b/>
      <w:bCs/>
      <w:sz w:val="26"/>
      <w:szCs w:val="26"/>
    </w:rPr>
  </w:style>
  <w:style w:type="paragraph" w:styleId="646">
    <w:name w:val="Heading 5"/>
    <w:basedOn w:val="815"/>
    <w:next w:val="815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47">
    <w:name w:val="Heading 5 Char"/>
    <w:link w:val="646"/>
    <w:uiPriority w:val="9"/>
    <w:rPr>
      <w:rFonts w:ascii="Arial" w:hAnsi="Arial" w:cs="Arial" w:eastAsia="Arial"/>
      <w:b/>
      <w:bCs/>
      <w:sz w:val="24"/>
      <w:szCs w:val="24"/>
    </w:rPr>
  </w:style>
  <w:style w:type="paragraph" w:styleId="648">
    <w:name w:val="Heading 6"/>
    <w:basedOn w:val="815"/>
    <w:next w:val="815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49">
    <w:name w:val="Heading 6 Char"/>
    <w:link w:val="648"/>
    <w:uiPriority w:val="9"/>
    <w:rPr>
      <w:rFonts w:ascii="Arial" w:hAnsi="Arial" w:cs="Arial" w:eastAsia="Arial"/>
      <w:b/>
      <w:bCs/>
      <w:sz w:val="22"/>
      <w:szCs w:val="22"/>
    </w:rPr>
  </w:style>
  <w:style w:type="paragraph" w:styleId="650">
    <w:name w:val="Heading 7"/>
    <w:basedOn w:val="815"/>
    <w:next w:val="815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51">
    <w:name w:val="Heading 7 Char"/>
    <w:link w:val="65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2">
    <w:name w:val="Heading 8"/>
    <w:basedOn w:val="815"/>
    <w:next w:val="815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53">
    <w:name w:val="Heading 8 Char"/>
    <w:link w:val="652"/>
    <w:uiPriority w:val="9"/>
    <w:rPr>
      <w:rFonts w:ascii="Arial" w:hAnsi="Arial" w:cs="Arial" w:eastAsia="Arial"/>
      <w:i/>
      <w:iCs/>
      <w:sz w:val="22"/>
      <w:szCs w:val="22"/>
    </w:rPr>
  </w:style>
  <w:style w:type="paragraph" w:styleId="654">
    <w:name w:val="Heading 9"/>
    <w:basedOn w:val="815"/>
    <w:next w:val="815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55">
    <w:name w:val="Heading 9 Char"/>
    <w:link w:val="654"/>
    <w:uiPriority w:val="9"/>
    <w:rPr>
      <w:rFonts w:ascii="Arial" w:hAnsi="Arial" w:cs="Arial" w:eastAsia="Arial"/>
      <w:i/>
      <w:iCs/>
      <w:sz w:val="21"/>
      <w:szCs w:val="21"/>
    </w:rPr>
  </w:style>
  <w:style w:type="paragraph" w:styleId="656">
    <w:name w:val="List Paragraph"/>
    <w:basedOn w:val="815"/>
    <w:uiPriority w:val="34"/>
    <w:qFormat/>
    <w:pPr>
      <w:contextualSpacing/>
      <w:ind w:left="720"/>
    </w:pPr>
  </w:style>
  <w:style w:type="paragraph" w:styleId="657">
    <w:name w:val="No Spacing"/>
    <w:uiPriority w:val="1"/>
    <w:qFormat/>
    <w:pPr>
      <w:spacing w:before="0" w:after="0" w:line="240" w:lineRule="auto"/>
    </w:pPr>
  </w:style>
  <w:style w:type="paragraph" w:styleId="658">
    <w:name w:val="Title"/>
    <w:basedOn w:val="815"/>
    <w:next w:val="815"/>
    <w:link w:val="6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9">
    <w:name w:val="Title Char"/>
    <w:link w:val="658"/>
    <w:uiPriority w:val="10"/>
    <w:rPr>
      <w:sz w:val="48"/>
      <w:szCs w:val="48"/>
    </w:rPr>
  </w:style>
  <w:style w:type="paragraph" w:styleId="660">
    <w:name w:val="Subtitle"/>
    <w:basedOn w:val="815"/>
    <w:next w:val="815"/>
    <w:link w:val="661"/>
    <w:uiPriority w:val="11"/>
    <w:qFormat/>
    <w:pPr>
      <w:spacing w:before="200" w:after="200"/>
    </w:pPr>
    <w:rPr>
      <w:sz w:val="24"/>
      <w:szCs w:val="24"/>
    </w:rPr>
  </w:style>
  <w:style w:type="character" w:styleId="661">
    <w:name w:val="Subtitle Char"/>
    <w:link w:val="660"/>
    <w:uiPriority w:val="11"/>
    <w:rPr>
      <w:sz w:val="24"/>
      <w:szCs w:val="24"/>
    </w:rPr>
  </w:style>
  <w:style w:type="paragraph" w:styleId="662">
    <w:name w:val="Quote"/>
    <w:basedOn w:val="815"/>
    <w:next w:val="815"/>
    <w:link w:val="663"/>
    <w:uiPriority w:val="29"/>
    <w:qFormat/>
    <w:pPr>
      <w:ind w:left="720" w:right="720"/>
    </w:pPr>
    <w:rPr>
      <w:i/>
    </w:rPr>
  </w:style>
  <w:style w:type="character" w:styleId="663">
    <w:name w:val="Quote Char"/>
    <w:link w:val="662"/>
    <w:uiPriority w:val="29"/>
    <w:rPr>
      <w:i/>
    </w:rPr>
  </w:style>
  <w:style w:type="paragraph" w:styleId="664">
    <w:name w:val="Intense Quote"/>
    <w:basedOn w:val="815"/>
    <w:next w:val="815"/>
    <w:link w:val="66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5">
    <w:name w:val="Intense Quote Char"/>
    <w:link w:val="664"/>
    <w:uiPriority w:val="30"/>
    <w:rPr>
      <w:i/>
    </w:rPr>
  </w:style>
  <w:style w:type="paragraph" w:styleId="666">
    <w:name w:val="Header"/>
    <w:basedOn w:val="815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Header Char"/>
    <w:link w:val="666"/>
    <w:uiPriority w:val="99"/>
  </w:style>
  <w:style w:type="paragraph" w:styleId="668">
    <w:name w:val="Footer"/>
    <w:basedOn w:val="815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Footer Char"/>
    <w:link w:val="668"/>
    <w:uiPriority w:val="99"/>
  </w:style>
  <w:style w:type="paragraph" w:styleId="670">
    <w:name w:val="Caption"/>
    <w:basedOn w:val="815"/>
    <w:next w:val="8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1">
    <w:name w:val="Caption Char"/>
    <w:basedOn w:val="670"/>
    <w:link w:val="668"/>
    <w:uiPriority w:val="99"/>
  </w:style>
  <w:style w:type="table" w:styleId="67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8">
    <w:name w:val="footnote text"/>
    <w:basedOn w:val="815"/>
    <w:link w:val="799"/>
    <w:uiPriority w:val="99"/>
    <w:semiHidden/>
    <w:unhideWhenUsed/>
    <w:pPr>
      <w:spacing w:after="40" w:line="240" w:lineRule="auto"/>
    </w:pPr>
    <w:rPr>
      <w:sz w:val="18"/>
    </w:rPr>
  </w:style>
  <w:style w:type="character" w:styleId="799">
    <w:name w:val="Footnote Text Char"/>
    <w:link w:val="798"/>
    <w:uiPriority w:val="99"/>
    <w:rPr>
      <w:sz w:val="18"/>
    </w:rPr>
  </w:style>
  <w:style w:type="character" w:styleId="800">
    <w:name w:val="footnote reference"/>
    <w:uiPriority w:val="99"/>
    <w:unhideWhenUsed/>
    <w:rPr>
      <w:vertAlign w:val="superscript"/>
    </w:rPr>
  </w:style>
  <w:style w:type="paragraph" w:styleId="801">
    <w:name w:val="endnote text"/>
    <w:basedOn w:val="815"/>
    <w:link w:val="802"/>
    <w:uiPriority w:val="99"/>
    <w:semiHidden/>
    <w:unhideWhenUsed/>
    <w:pPr>
      <w:spacing w:after="0" w:line="240" w:lineRule="auto"/>
    </w:pPr>
    <w:rPr>
      <w:sz w:val="20"/>
    </w:rPr>
  </w:style>
  <w:style w:type="character" w:styleId="802">
    <w:name w:val="Endnote Text Char"/>
    <w:link w:val="801"/>
    <w:uiPriority w:val="99"/>
    <w:rPr>
      <w:sz w:val="20"/>
    </w:rPr>
  </w:style>
  <w:style w:type="character" w:styleId="803">
    <w:name w:val="endnote reference"/>
    <w:uiPriority w:val="99"/>
    <w:semiHidden/>
    <w:unhideWhenUsed/>
    <w:rPr>
      <w:vertAlign w:val="superscript"/>
    </w:rPr>
  </w:style>
  <w:style w:type="paragraph" w:styleId="804">
    <w:name w:val="toc 1"/>
    <w:basedOn w:val="815"/>
    <w:next w:val="815"/>
    <w:uiPriority w:val="39"/>
    <w:unhideWhenUsed/>
    <w:pPr>
      <w:ind w:left="0" w:right="0" w:firstLine="0"/>
      <w:spacing w:after="57"/>
    </w:pPr>
  </w:style>
  <w:style w:type="paragraph" w:styleId="805">
    <w:name w:val="toc 2"/>
    <w:basedOn w:val="815"/>
    <w:next w:val="815"/>
    <w:uiPriority w:val="39"/>
    <w:unhideWhenUsed/>
    <w:pPr>
      <w:ind w:left="283" w:right="0" w:firstLine="0"/>
      <w:spacing w:after="57"/>
    </w:pPr>
  </w:style>
  <w:style w:type="paragraph" w:styleId="806">
    <w:name w:val="toc 3"/>
    <w:basedOn w:val="815"/>
    <w:next w:val="815"/>
    <w:uiPriority w:val="39"/>
    <w:unhideWhenUsed/>
    <w:pPr>
      <w:ind w:left="567" w:right="0" w:firstLine="0"/>
      <w:spacing w:after="57"/>
    </w:pPr>
  </w:style>
  <w:style w:type="paragraph" w:styleId="807">
    <w:name w:val="toc 4"/>
    <w:basedOn w:val="815"/>
    <w:next w:val="815"/>
    <w:uiPriority w:val="39"/>
    <w:unhideWhenUsed/>
    <w:pPr>
      <w:ind w:left="850" w:right="0" w:firstLine="0"/>
      <w:spacing w:after="57"/>
    </w:pPr>
  </w:style>
  <w:style w:type="paragraph" w:styleId="808">
    <w:name w:val="toc 5"/>
    <w:basedOn w:val="815"/>
    <w:next w:val="815"/>
    <w:uiPriority w:val="39"/>
    <w:unhideWhenUsed/>
    <w:pPr>
      <w:ind w:left="1134" w:right="0" w:firstLine="0"/>
      <w:spacing w:after="57"/>
    </w:pPr>
  </w:style>
  <w:style w:type="paragraph" w:styleId="809">
    <w:name w:val="toc 6"/>
    <w:basedOn w:val="815"/>
    <w:next w:val="815"/>
    <w:uiPriority w:val="39"/>
    <w:unhideWhenUsed/>
    <w:pPr>
      <w:ind w:left="1417" w:right="0" w:firstLine="0"/>
      <w:spacing w:after="57"/>
    </w:pPr>
  </w:style>
  <w:style w:type="paragraph" w:styleId="810">
    <w:name w:val="toc 7"/>
    <w:basedOn w:val="815"/>
    <w:next w:val="815"/>
    <w:uiPriority w:val="39"/>
    <w:unhideWhenUsed/>
    <w:pPr>
      <w:ind w:left="1701" w:right="0" w:firstLine="0"/>
      <w:spacing w:after="57"/>
    </w:pPr>
  </w:style>
  <w:style w:type="paragraph" w:styleId="811">
    <w:name w:val="toc 8"/>
    <w:basedOn w:val="815"/>
    <w:next w:val="815"/>
    <w:uiPriority w:val="39"/>
    <w:unhideWhenUsed/>
    <w:pPr>
      <w:ind w:left="1984" w:right="0" w:firstLine="0"/>
      <w:spacing w:after="57"/>
    </w:pPr>
  </w:style>
  <w:style w:type="paragraph" w:styleId="812">
    <w:name w:val="toc 9"/>
    <w:basedOn w:val="815"/>
    <w:next w:val="815"/>
    <w:uiPriority w:val="39"/>
    <w:unhideWhenUsed/>
    <w:pPr>
      <w:ind w:left="2268" w:right="0" w:firstLine="0"/>
      <w:spacing w:after="57"/>
    </w:pPr>
  </w:style>
  <w:style w:type="paragraph" w:styleId="813">
    <w:name w:val="TOC Heading"/>
    <w:uiPriority w:val="39"/>
    <w:unhideWhenUsed/>
  </w:style>
  <w:style w:type="paragraph" w:styleId="814">
    <w:name w:val="table of figures"/>
    <w:basedOn w:val="815"/>
    <w:next w:val="815"/>
    <w:uiPriority w:val="99"/>
    <w:unhideWhenUsed/>
    <w:pPr>
      <w:spacing w:after="0" w:afterAutospacing="0"/>
    </w:pPr>
  </w:style>
  <w:style w:type="paragraph" w:styleId="815" w:default="1">
    <w:name w:val="Normal"/>
    <w:next w:val="815"/>
    <w:link w:val="815"/>
    <w:pPr>
      <w:spacing w:after="200" w:line="276" w:lineRule="auto"/>
    </w:pPr>
    <w:rPr>
      <w:rFonts w:ascii="Calibri" w:hAnsi="Calibri" w:eastAsia="Calibri"/>
      <w:sz w:val="22"/>
      <w:szCs w:val="22"/>
      <w:lang w:val="pt-BR" w:bidi="ar-SA" w:eastAsia="zh-CN"/>
    </w:rPr>
  </w:style>
  <w:style w:type="paragraph" w:styleId="816">
    <w:name w:val="Título 2"/>
    <w:basedOn w:val="815"/>
    <w:next w:val="816"/>
    <w:link w:val="863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  <w:lang w:eastAsia="pt-BR"/>
    </w:rPr>
  </w:style>
  <w:style w:type="paragraph" w:styleId="817">
    <w:name w:val="Título 3"/>
    <w:basedOn w:val="815"/>
    <w:next w:val="815"/>
    <w:link w:val="871"/>
    <w:semiHidden/>
    <w:pPr>
      <w:keepNext/>
      <w:spacing w:before="240" w:after="60"/>
      <w:outlineLvl w:val="2"/>
    </w:pPr>
    <w:rPr>
      <w:rFonts w:ascii="Calibri Light" w:hAnsi="Calibri Light" w:eastAsia="Times New Roman"/>
      <w:b/>
      <w:bCs/>
      <w:sz w:val="26"/>
      <w:szCs w:val="26"/>
    </w:rPr>
  </w:style>
  <w:style w:type="character" w:styleId="818">
    <w:name w:val="Fonte parág. padrão"/>
    <w:next w:val="818"/>
    <w:link w:val="815"/>
    <w:semiHidden/>
  </w:style>
  <w:style w:type="table" w:styleId="819">
    <w:name w:val="Tabela normal"/>
    <w:next w:val="819"/>
    <w:link w:val="815"/>
    <w:semiHidden/>
    <w:tblPr/>
  </w:style>
  <w:style w:type="numbering" w:styleId="820">
    <w:name w:val="Sem lista"/>
    <w:next w:val="820"/>
    <w:link w:val="815"/>
    <w:semiHidden/>
  </w:style>
  <w:style w:type="character" w:styleId="821">
    <w:name w:val="WW8Num1z0"/>
    <w:next w:val="821"/>
    <w:link w:val="815"/>
  </w:style>
  <w:style w:type="character" w:styleId="822">
    <w:name w:val="WW8Num2z0"/>
    <w:next w:val="822"/>
    <w:link w:val="815"/>
  </w:style>
  <w:style w:type="character" w:styleId="823">
    <w:name w:val="WW8Num2z1"/>
    <w:next w:val="823"/>
    <w:link w:val="815"/>
  </w:style>
  <w:style w:type="character" w:styleId="824">
    <w:name w:val="WW8Num2z2"/>
    <w:next w:val="824"/>
    <w:link w:val="815"/>
  </w:style>
  <w:style w:type="character" w:styleId="825">
    <w:name w:val="WW8Num2z3"/>
    <w:next w:val="825"/>
    <w:link w:val="815"/>
  </w:style>
  <w:style w:type="character" w:styleId="826">
    <w:name w:val="WW8Num2z4"/>
    <w:next w:val="826"/>
    <w:link w:val="815"/>
  </w:style>
  <w:style w:type="character" w:styleId="827">
    <w:name w:val="WW8Num2z5"/>
    <w:next w:val="827"/>
    <w:link w:val="815"/>
  </w:style>
  <w:style w:type="character" w:styleId="828">
    <w:name w:val="WW8Num2z6"/>
    <w:next w:val="828"/>
    <w:link w:val="815"/>
  </w:style>
  <w:style w:type="character" w:styleId="829">
    <w:name w:val="WW8Num2z7"/>
    <w:next w:val="829"/>
    <w:link w:val="815"/>
  </w:style>
  <w:style w:type="character" w:styleId="830">
    <w:name w:val="WW8Num2z8"/>
    <w:next w:val="830"/>
    <w:link w:val="815"/>
  </w:style>
  <w:style w:type="character" w:styleId="831">
    <w:name w:val="WW8Num1z1"/>
    <w:next w:val="831"/>
    <w:link w:val="815"/>
  </w:style>
  <w:style w:type="character" w:styleId="832">
    <w:name w:val="WW8Num1z2"/>
    <w:next w:val="832"/>
    <w:link w:val="815"/>
  </w:style>
  <w:style w:type="character" w:styleId="833">
    <w:name w:val="WW8Num1z3"/>
    <w:next w:val="833"/>
    <w:link w:val="815"/>
  </w:style>
  <w:style w:type="character" w:styleId="834">
    <w:name w:val="WW8Num1z4"/>
    <w:next w:val="834"/>
    <w:link w:val="815"/>
  </w:style>
  <w:style w:type="character" w:styleId="835">
    <w:name w:val="WW8Num1z5"/>
    <w:next w:val="835"/>
    <w:link w:val="815"/>
  </w:style>
  <w:style w:type="character" w:styleId="836">
    <w:name w:val="WW8Num1z6"/>
    <w:next w:val="836"/>
    <w:link w:val="815"/>
  </w:style>
  <w:style w:type="character" w:styleId="837">
    <w:name w:val="WW8Num1z7"/>
    <w:next w:val="837"/>
    <w:link w:val="815"/>
  </w:style>
  <w:style w:type="character" w:styleId="838">
    <w:name w:val="WW8Num1z8"/>
    <w:next w:val="838"/>
    <w:link w:val="815"/>
  </w:style>
  <w:style w:type="character" w:styleId="839">
    <w:name w:val="WW8Num3z0"/>
    <w:next w:val="839"/>
    <w:link w:val="815"/>
  </w:style>
  <w:style w:type="character" w:styleId="840">
    <w:name w:val="WW8Num3z1"/>
    <w:next w:val="840"/>
    <w:link w:val="815"/>
  </w:style>
  <w:style w:type="character" w:styleId="841">
    <w:name w:val="WW8Num3z2"/>
    <w:next w:val="841"/>
    <w:link w:val="815"/>
  </w:style>
  <w:style w:type="character" w:styleId="842">
    <w:name w:val="WW8Num3z3"/>
    <w:next w:val="842"/>
    <w:link w:val="815"/>
  </w:style>
  <w:style w:type="character" w:styleId="843">
    <w:name w:val="WW8Num3z4"/>
    <w:next w:val="843"/>
    <w:link w:val="815"/>
  </w:style>
  <w:style w:type="character" w:styleId="844">
    <w:name w:val="WW8Num3z5"/>
    <w:next w:val="844"/>
    <w:link w:val="815"/>
  </w:style>
  <w:style w:type="character" w:styleId="845">
    <w:name w:val="WW8Num3z6"/>
    <w:next w:val="845"/>
    <w:link w:val="815"/>
  </w:style>
  <w:style w:type="character" w:styleId="846">
    <w:name w:val="WW8Num3z7"/>
    <w:next w:val="846"/>
    <w:link w:val="815"/>
  </w:style>
  <w:style w:type="character" w:styleId="847">
    <w:name w:val="WW8Num3z8"/>
    <w:next w:val="847"/>
    <w:link w:val="815"/>
  </w:style>
  <w:style w:type="character" w:styleId="848">
    <w:name w:val="Fonte parág. padrão1"/>
    <w:next w:val="848"/>
    <w:link w:val="815"/>
  </w:style>
  <w:style w:type="character" w:styleId="849">
    <w:name w:val="Texto de balão Char"/>
    <w:next w:val="849"/>
    <w:link w:val="815"/>
    <w:rPr>
      <w:rFonts w:ascii="Tahoma" w:hAnsi="Tahoma"/>
      <w:sz w:val="16"/>
      <w:szCs w:val="16"/>
    </w:rPr>
  </w:style>
  <w:style w:type="character" w:styleId="850">
    <w:name w:val="Texto de nota de rodapé Char"/>
    <w:next w:val="850"/>
    <w:link w:val="815"/>
    <w:rPr>
      <w:sz w:val="20"/>
      <w:szCs w:val="20"/>
    </w:rPr>
  </w:style>
  <w:style w:type="character" w:styleId="851">
    <w:name w:val="Caracteres de nota de rodapé"/>
    <w:next w:val="851"/>
    <w:link w:val="815"/>
    <w:rPr>
      <w:vertAlign w:val="superscript"/>
    </w:rPr>
  </w:style>
  <w:style w:type="character" w:styleId="852">
    <w:name w:val="apple-converted-space"/>
    <w:basedOn w:val="848"/>
    <w:next w:val="852"/>
    <w:link w:val="815"/>
  </w:style>
  <w:style w:type="paragraph" w:styleId="853">
    <w:name w:val="Título1"/>
    <w:basedOn w:val="815"/>
    <w:next w:val="854"/>
    <w:link w:val="815"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854">
    <w:name w:val="Corpo de texto"/>
    <w:basedOn w:val="815"/>
    <w:next w:val="854"/>
    <w:link w:val="815"/>
    <w:pPr>
      <w:spacing w:before="0" w:after="140" w:line="288" w:lineRule="auto"/>
    </w:pPr>
  </w:style>
  <w:style w:type="paragraph" w:styleId="855">
    <w:name w:val="Lista"/>
    <w:basedOn w:val="854"/>
    <w:next w:val="855"/>
    <w:link w:val="815"/>
  </w:style>
  <w:style w:type="paragraph" w:styleId="856">
    <w:name w:val="Legenda"/>
    <w:basedOn w:val="815"/>
    <w:next w:val="856"/>
    <w:link w:val="815"/>
    <w:pPr>
      <w:spacing w:before="120" w:after="120"/>
      <w:suppressLineNumbers/>
    </w:pPr>
    <w:rPr>
      <w:i/>
      <w:iCs/>
      <w:sz w:val="24"/>
      <w:szCs w:val="24"/>
    </w:rPr>
  </w:style>
  <w:style w:type="paragraph" w:styleId="857">
    <w:name w:val="Índice"/>
    <w:basedOn w:val="815"/>
    <w:next w:val="857"/>
    <w:link w:val="815"/>
    <w:pPr>
      <w:suppressLineNumbers/>
    </w:pPr>
  </w:style>
  <w:style w:type="paragraph" w:styleId="858">
    <w:name w:val="Texto de balão"/>
    <w:basedOn w:val="815"/>
    <w:next w:val="858"/>
    <w:link w:val="815"/>
    <w:pPr>
      <w:spacing w:before="0" w:after="0" w:line="240" w:lineRule="auto"/>
    </w:pPr>
    <w:rPr>
      <w:rFonts w:ascii="Tahoma" w:hAnsi="Tahoma"/>
      <w:sz w:val="16"/>
      <w:szCs w:val="16"/>
    </w:rPr>
  </w:style>
  <w:style w:type="paragraph" w:styleId="859">
    <w:name w:val="Texto de nota de rodapé"/>
    <w:basedOn w:val="815"/>
    <w:next w:val="859"/>
    <w:link w:val="815"/>
    <w:pPr>
      <w:spacing w:before="0" w:after="0" w:line="240" w:lineRule="auto"/>
    </w:pPr>
    <w:rPr>
      <w:sz w:val="20"/>
      <w:szCs w:val="20"/>
    </w:rPr>
  </w:style>
  <w:style w:type="paragraph" w:styleId="860">
    <w:name w:val="Default"/>
    <w:next w:val="860"/>
    <w:link w:val="815"/>
    <w:rPr>
      <w:rFonts w:ascii="Calibri" w:hAnsi="Calibri" w:eastAsia="Calibri"/>
      <w:color w:val="000000"/>
      <w:sz w:val="24"/>
      <w:szCs w:val="24"/>
      <w:lang w:val="pt-BR" w:bidi="ar-SA" w:eastAsia="zh-CN"/>
    </w:rPr>
  </w:style>
  <w:style w:type="paragraph" w:styleId="861">
    <w:name w:val="Sem Espaçamento"/>
    <w:next w:val="861"/>
    <w:link w:val="815"/>
    <w:rPr>
      <w:rFonts w:ascii="Calibri" w:hAnsi="Calibri" w:eastAsia="Calibri"/>
      <w:sz w:val="22"/>
      <w:szCs w:val="22"/>
      <w:lang w:val="pt-BR" w:bidi="ar-SA" w:eastAsia="zh-CN"/>
    </w:rPr>
  </w:style>
  <w:style w:type="character" w:styleId="862">
    <w:name w:val="Hyperlink"/>
    <w:next w:val="862"/>
    <w:link w:val="815"/>
    <w:rPr>
      <w:color w:val="0000FF"/>
      <w:u w:val="single"/>
    </w:rPr>
  </w:style>
  <w:style w:type="character" w:styleId="863">
    <w:name w:val="Título 2 Char"/>
    <w:next w:val="863"/>
    <w:link w:val="816"/>
    <w:rPr>
      <w:b/>
      <w:bCs/>
      <w:sz w:val="36"/>
      <w:szCs w:val="36"/>
    </w:rPr>
  </w:style>
  <w:style w:type="table" w:styleId="864">
    <w:name w:val="Tabela com grade"/>
    <w:basedOn w:val="819"/>
    <w:next w:val="864"/>
    <w:link w:val="815"/>
    <w:rPr>
      <w:rFonts w:ascii="Calibri" w:hAnsi="Calibri" w:eastAsia="Calibri"/>
      <w:sz w:val="22"/>
      <w:szCs w:val="22"/>
      <w:lang w:eastAsia="en-US"/>
    </w:rPr>
    <w:tblPr/>
  </w:style>
  <w:style w:type="paragraph" w:styleId="865">
    <w:name w:val="Cabeçalho"/>
    <w:basedOn w:val="815"/>
    <w:next w:val="865"/>
    <w:link w:val="866"/>
    <w:pPr>
      <w:tabs>
        <w:tab w:val="center" w:pos="4252" w:leader="none"/>
        <w:tab w:val="right" w:pos="8504" w:leader="none"/>
      </w:tabs>
    </w:pPr>
  </w:style>
  <w:style w:type="character" w:styleId="866">
    <w:name w:val="Cabeçalho Char"/>
    <w:next w:val="866"/>
    <w:link w:val="865"/>
    <w:rPr>
      <w:rFonts w:ascii="Calibri" w:hAnsi="Calibri" w:eastAsia="Calibri"/>
      <w:sz w:val="22"/>
      <w:szCs w:val="22"/>
      <w:lang w:eastAsia="zh-CN"/>
    </w:rPr>
  </w:style>
  <w:style w:type="paragraph" w:styleId="867">
    <w:name w:val="Rodapé"/>
    <w:basedOn w:val="815"/>
    <w:next w:val="867"/>
    <w:link w:val="868"/>
    <w:pPr>
      <w:tabs>
        <w:tab w:val="center" w:pos="4252" w:leader="none"/>
        <w:tab w:val="right" w:pos="8504" w:leader="none"/>
      </w:tabs>
    </w:pPr>
  </w:style>
  <w:style w:type="character" w:styleId="868">
    <w:name w:val="Rodapé Char"/>
    <w:next w:val="868"/>
    <w:link w:val="867"/>
    <w:rPr>
      <w:rFonts w:ascii="Calibri" w:hAnsi="Calibri" w:eastAsia="Calibri"/>
      <w:sz w:val="22"/>
      <w:szCs w:val="22"/>
      <w:lang w:eastAsia="zh-CN"/>
    </w:rPr>
  </w:style>
  <w:style w:type="character" w:styleId="869">
    <w:name w:val="Forte"/>
    <w:next w:val="869"/>
    <w:link w:val="815"/>
    <w:rPr>
      <w:b/>
      <w:bCs/>
    </w:rPr>
  </w:style>
  <w:style w:type="character" w:styleId="870">
    <w:name w:val="Ênfase"/>
    <w:next w:val="870"/>
    <w:link w:val="815"/>
    <w:rPr>
      <w:i/>
      <w:iCs/>
    </w:rPr>
  </w:style>
  <w:style w:type="character" w:styleId="871">
    <w:name w:val="Título 3 Char"/>
    <w:next w:val="871"/>
    <w:link w:val="817"/>
    <w:semiHidden/>
    <w:rPr>
      <w:rFonts w:ascii="Calibri Light" w:hAnsi="Calibri Light" w:eastAsia="Times New Roman"/>
      <w:b/>
      <w:bCs/>
      <w:sz w:val="26"/>
      <w:szCs w:val="26"/>
      <w:lang w:eastAsia="zh-CN"/>
    </w:rPr>
  </w:style>
  <w:style w:type="paragraph" w:styleId="872">
    <w:name w:val="Texto de nota de fim"/>
    <w:basedOn w:val="815"/>
    <w:next w:val="872"/>
    <w:link w:val="873"/>
    <w:semiHidden/>
    <w:rPr>
      <w:sz w:val="20"/>
      <w:szCs w:val="20"/>
    </w:rPr>
  </w:style>
  <w:style w:type="character" w:styleId="873">
    <w:name w:val="Texto de nota de fim Char"/>
    <w:next w:val="873"/>
    <w:link w:val="872"/>
    <w:semiHidden/>
    <w:rPr>
      <w:rFonts w:ascii="Calibri" w:hAnsi="Calibri" w:eastAsia="Calibri"/>
      <w:lang w:eastAsia="zh-CN"/>
    </w:rPr>
  </w:style>
  <w:style w:type="character" w:styleId="874">
    <w:name w:val="Ref. de nota de fim"/>
    <w:next w:val="874"/>
    <w:link w:val="815"/>
    <w:semiHidden/>
    <w:rPr>
      <w:vertAlign w:val="superscript"/>
    </w:rPr>
  </w:style>
  <w:style w:type="character" w:styleId="875" w:default="1">
    <w:name w:val="Default Paragraph Font"/>
    <w:uiPriority w:val="1"/>
    <w:semiHidden/>
    <w:unhideWhenUsed/>
  </w:style>
  <w:style w:type="numbering" w:styleId="876" w:default="1">
    <w:name w:val="No List"/>
    <w:uiPriority w:val="99"/>
    <w:semiHidden/>
    <w:unhideWhenUsed/>
  </w:style>
  <w:style w:type="table" w:styleId="87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ONLYOFFICE/7.1.0.215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11</cp:revision>
  <dcterms:modified xsi:type="dcterms:W3CDTF">2022-09-14T17:28:42Z</dcterms:modified>
</cp:coreProperties>
</file>