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4F8929" w14:textId="77777777" w:rsidR="00994D6B" w:rsidRPr="00365B16" w:rsidRDefault="0045105D">
      <w:pPr>
        <w:spacing w:before="120" w:after="120" w:line="240" w:lineRule="auto"/>
        <w:jc w:val="center"/>
        <w:rPr>
          <w:rFonts w:ascii="Arial" w:hAnsi="Arial"/>
          <w:b/>
          <w:sz w:val="28"/>
          <w:szCs w:val="28"/>
        </w:rPr>
      </w:pPr>
      <w:r w:rsidRPr="00365B16">
        <w:rPr>
          <w:rFonts w:ascii="Arial" w:hAnsi="Arial"/>
          <w:b/>
          <w:sz w:val="28"/>
          <w:szCs w:val="28"/>
        </w:rPr>
        <w:t>RELATÓRIO FINANCEIRO DE INVESTIMENTOS</w:t>
      </w:r>
    </w:p>
    <w:p w14:paraId="3C4DB1AD" w14:textId="1AA421B4" w:rsidR="00994D6B" w:rsidRPr="00365B16" w:rsidRDefault="005569C5">
      <w:pPr>
        <w:spacing w:before="120" w:after="120" w:line="240" w:lineRule="auto"/>
        <w:contextualSpacing/>
        <w:jc w:val="center"/>
        <w:rPr>
          <w:rFonts w:ascii="Times New Roman" w:hAnsi="Times New Roman"/>
          <w:b/>
        </w:rPr>
      </w:pPr>
      <w:r w:rsidRPr="00365B16">
        <w:rPr>
          <w:rFonts w:ascii="Arial" w:hAnsi="Arial"/>
          <w:b/>
          <w:sz w:val="28"/>
          <w:szCs w:val="28"/>
        </w:rPr>
        <w:t>OUTUBRO</w:t>
      </w:r>
      <w:r w:rsidR="0045105D" w:rsidRPr="00365B16">
        <w:rPr>
          <w:rFonts w:ascii="Arial" w:hAnsi="Arial"/>
          <w:b/>
          <w:sz w:val="28"/>
          <w:szCs w:val="28"/>
        </w:rPr>
        <w:t>/2022</w:t>
      </w:r>
    </w:p>
    <w:p w14:paraId="0BA61424" w14:textId="77777777" w:rsidR="00994D6B" w:rsidRPr="00365B16" w:rsidRDefault="00994D6B">
      <w:pPr>
        <w:spacing w:before="120" w:after="120" w:line="240" w:lineRule="auto"/>
        <w:contextualSpacing/>
        <w:jc w:val="center"/>
        <w:rPr>
          <w:rFonts w:ascii="Times New Roman" w:hAnsi="Times New Roman"/>
          <w:b/>
        </w:rPr>
      </w:pPr>
    </w:p>
    <w:p w14:paraId="6FE51097" w14:textId="0DAE4240" w:rsidR="00365B16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365B16">
        <w:rPr>
          <w:rFonts w:ascii="Arial" w:hAnsi="Arial"/>
          <w:sz w:val="24"/>
          <w:szCs w:val="24"/>
        </w:rPr>
        <w:t xml:space="preserve">O Fundo Previdenciário iniciou o mês de </w:t>
      </w:r>
      <w:r w:rsidR="005569C5" w:rsidRPr="00365B16">
        <w:rPr>
          <w:rFonts w:ascii="Arial" w:hAnsi="Arial"/>
          <w:sz w:val="24"/>
          <w:szCs w:val="24"/>
        </w:rPr>
        <w:t>outubro</w:t>
      </w:r>
      <w:r w:rsidRPr="00365B16">
        <w:rPr>
          <w:rFonts w:ascii="Arial" w:hAnsi="Arial"/>
          <w:sz w:val="24"/>
          <w:szCs w:val="24"/>
        </w:rPr>
        <w:t xml:space="preserve">/2022 com patrimônio de R$ </w:t>
      </w:r>
      <w:r w:rsidR="005569C5" w:rsidRPr="00365B16">
        <w:rPr>
          <w:rFonts w:ascii="Arial" w:hAnsi="Arial"/>
          <w:sz w:val="24"/>
          <w:szCs w:val="24"/>
        </w:rPr>
        <w:t>385.232.826,76 (trezentos e oitenta e cinco milhões, duzentos e trinta e dois mil, oitocentos e vinte e seis reais e setenta e seis centavos)</w:t>
      </w:r>
      <w:r w:rsidRPr="00365B16">
        <w:rPr>
          <w:rFonts w:ascii="Arial" w:hAnsi="Arial"/>
          <w:sz w:val="24"/>
          <w:szCs w:val="24"/>
        </w:rPr>
        <w:t xml:space="preserve">. O retorno da carteira no mês foi </w:t>
      </w:r>
      <w:r w:rsidR="005569C5" w:rsidRPr="00365B16">
        <w:rPr>
          <w:rFonts w:ascii="Arial" w:hAnsi="Arial"/>
          <w:sz w:val="24"/>
          <w:szCs w:val="24"/>
        </w:rPr>
        <w:t>1,</w:t>
      </w:r>
      <w:r w:rsidR="00365B16">
        <w:rPr>
          <w:rFonts w:ascii="Arial" w:hAnsi="Arial"/>
          <w:sz w:val="24"/>
          <w:szCs w:val="24"/>
        </w:rPr>
        <w:t>71</w:t>
      </w:r>
      <w:r w:rsidRPr="00365B16">
        <w:rPr>
          <w:rFonts w:ascii="Arial" w:hAnsi="Arial"/>
          <w:sz w:val="24"/>
          <w:szCs w:val="24"/>
        </w:rPr>
        <w:t>%</w:t>
      </w:r>
      <w:r w:rsidR="005569C5" w:rsidRPr="00365B16">
        <w:rPr>
          <w:rFonts w:ascii="Arial" w:hAnsi="Arial"/>
          <w:sz w:val="24"/>
          <w:szCs w:val="24"/>
        </w:rPr>
        <w:t xml:space="preserve"> </w:t>
      </w:r>
      <w:r w:rsidRPr="00365B16">
        <w:rPr>
          <w:rFonts w:ascii="Arial" w:hAnsi="Arial"/>
          <w:sz w:val="24"/>
          <w:szCs w:val="24"/>
        </w:rPr>
        <w:t>correspondendo ao valor de</w:t>
      </w:r>
      <w:r w:rsidR="005569C5" w:rsidRPr="00365B16">
        <w:rPr>
          <w:rFonts w:ascii="Arial" w:hAnsi="Arial"/>
          <w:sz w:val="24"/>
          <w:szCs w:val="24"/>
        </w:rPr>
        <w:t xml:space="preserve"> R$ 6.</w:t>
      </w:r>
      <w:r w:rsidR="002F1AE8">
        <w:rPr>
          <w:rFonts w:ascii="Arial" w:hAnsi="Arial"/>
          <w:sz w:val="24"/>
          <w:szCs w:val="24"/>
        </w:rPr>
        <w:t>598.729,34</w:t>
      </w:r>
      <w:r w:rsidR="00365B16">
        <w:rPr>
          <w:rFonts w:ascii="Arial" w:hAnsi="Arial"/>
          <w:sz w:val="24"/>
          <w:szCs w:val="24"/>
        </w:rPr>
        <w:t xml:space="preserve"> (</w:t>
      </w:r>
      <w:r w:rsidR="005569C5" w:rsidRPr="00365B16">
        <w:rPr>
          <w:rFonts w:ascii="Arial" w:hAnsi="Arial"/>
          <w:sz w:val="24"/>
          <w:szCs w:val="24"/>
        </w:rPr>
        <w:t xml:space="preserve">seis milhões, </w:t>
      </w:r>
      <w:r w:rsidR="00365B16">
        <w:rPr>
          <w:rFonts w:ascii="Arial" w:hAnsi="Arial"/>
          <w:sz w:val="24"/>
          <w:szCs w:val="24"/>
        </w:rPr>
        <w:t>quinhentos e noventa e oito mil, setecentos e vinte e nove reais e trinta e quatro centavos).</w:t>
      </w:r>
    </w:p>
    <w:p w14:paraId="187D93DF" w14:textId="54F7EA80" w:rsidR="00147701" w:rsidRDefault="00147701" w:rsidP="00147701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365B16">
        <w:rPr>
          <w:rFonts w:ascii="Arial" w:hAnsi="Arial"/>
          <w:sz w:val="24"/>
          <w:szCs w:val="24"/>
        </w:rPr>
        <w:t xml:space="preserve">As aplicações no Fundo Previdenciário </w:t>
      </w:r>
      <w:r>
        <w:rPr>
          <w:rFonts w:ascii="Arial" w:hAnsi="Arial"/>
          <w:sz w:val="24"/>
          <w:szCs w:val="24"/>
        </w:rPr>
        <w:t>foram de R$ 3.798.326,88 (três milhões, setecentos e noventa e oito mil, trezentos e vinte e seis reais e oitenta e oito centavos), provenientes de contribuições previdenciárias. No entanto, as contribuições foram repassadas ainda no mês de setembro e ficaram alocadas no fundo Banestes Investido</w:t>
      </w:r>
      <w:r w:rsidR="0015067C">
        <w:rPr>
          <w:rFonts w:ascii="Arial" w:hAnsi="Arial"/>
          <w:sz w:val="24"/>
          <w:szCs w:val="24"/>
        </w:rPr>
        <w:t>r</w:t>
      </w:r>
      <w:r>
        <w:rPr>
          <w:rFonts w:ascii="Arial" w:hAnsi="Arial"/>
          <w:sz w:val="24"/>
          <w:szCs w:val="24"/>
        </w:rPr>
        <w:t xml:space="preserve"> Automático, sendo </w:t>
      </w:r>
      <w:r w:rsidR="0015067C">
        <w:rPr>
          <w:rFonts w:ascii="Arial" w:hAnsi="Arial"/>
          <w:sz w:val="24"/>
          <w:szCs w:val="24"/>
        </w:rPr>
        <w:t xml:space="preserve">apenas </w:t>
      </w:r>
      <w:r w:rsidR="002F1AE8">
        <w:rPr>
          <w:rFonts w:ascii="Arial" w:hAnsi="Arial"/>
          <w:sz w:val="24"/>
          <w:szCs w:val="24"/>
        </w:rPr>
        <w:t>realocadas no mês de outubro, não contando como entrada de novos recursos, pois já foram contabilizados no saldo de setembro.</w:t>
      </w:r>
    </w:p>
    <w:p w14:paraId="7234340C" w14:textId="04BF615A" w:rsidR="00147701" w:rsidRDefault="002F1AE8" w:rsidP="00147701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Os resgates totalizaram R$ 832.186,46 (oitocentos e trinta e dois mil, cento e oitenta e seis reais e quarenta e seis cen</w:t>
      </w:r>
      <w:r w:rsidR="00E52731">
        <w:rPr>
          <w:rFonts w:ascii="Arial" w:hAnsi="Arial"/>
          <w:sz w:val="24"/>
          <w:szCs w:val="24"/>
        </w:rPr>
        <w:t>tavos).</w:t>
      </w:r>
    </w:p>
    <w:p w14:paraId="57BD9EE1" w14:textId="7EFEA3E7" w:rsidR="00147701" w:rsidRDefault="00E52731" w:rsidP="00147701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É importante destacar que no mês de outubro foi realizada a mudança do fundo Banestes Investidor Automático FI Renda Fixa Curto Prazo para p fundo Banestes </w:t>
      </w:r>
      <w:proofErr w:type="spellStart"/>
      <w:r>
        <w:rPr>
          <w:rFonts w:ascii="Arial" w:hAnsi="Arial"/>
          <w:sz w:val="24"/>
          <w:szCs w:val="24"/>
        </w:rPr>
        <w:t>Invest</w:t>
      </w:r>
      <w:proofErr w:type="spell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Public</w:t>
      </w:r>
      <w:proofErr w:type="spellEnd"/>
      <w:r>
        <w:rPr>
          <w:rFonts w:ascii="Arial" w:hAnsi="Arial"/>
          <w:sz w:val="24"/>
          <w:szCs w:val="24"/>
        </w:rPr>
        <w:t xml:space="preserve"> Automático FI Renda Fixa CP, sendo </w:t>
      </w:r>
      <w:r w:rsidR="00F02437">
        <w:rPr>
          <w:rFonts w:ascii="Arial" w:hAnsi="Arial"/>
          <w:sz w:val="24"/>
          <w:szCs w:val="24"/>
        </w:rPr>
        <w:t xml:space="preserve">que </w:t>
      </w:r>
      <w:r>
        <w:rPr>
          <w:rFonts w:ascii="Arial" w:hAnsi="Arial"/>
          <w:sz w:val="24"/>
          <w:szCs w:val="24"/>
        </w:rPr>
        <w:t>este começ</w:t>
      </w:r>
      <w:r w:rsidR="00F02437">
        <w:rPr>
          <w:rFonts w:ascii="Arial" w:hAnsi="Arial"/>
          <w:sz w:val="24"/>
          <w:szCs w:val="24"/>
        </w:rPr>
        <w:t xml:space="preserve">ou </w:t>
      </w:r>
      <w:r>
        <w:rPr>
          <w:rFonts w:ascii="Arial" w:hAnsi="Arial"/>
          <w:sz w:val="24"/>
          <w:szCs w:val="24"/>
        </w:rPr>
        <w:t>a operacionalizar no dia 26/10, mesma data em que o anterior teve seu saldo zerado.</w:t>
      </w:r>
      <w:bookmarkStart w:id="0" w:name="_GoBack"/>
      <w:bookmarkEnd w:id="0"/>
    </w:p>
    <w:p w14:paraId="35E6E927" w14:textId="17A92961" w:rsidR="00E52731" w:rsidRDefault="00F909C2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365B16">
        <w:rPr>
          <w:rFonts w:ascii="Arial" w:hAnsi="Arial"/>
          <w:sz w:val="24"/>
          <w:szCs w:val="24"/>
        </w:rPr>
        <w:t xml:space="preserve">Assim, o patrimônio líquido final do mês de </w:t>
      </w:r>
      <w:r w:rsidR="00C03D07" w:rsidRPr="00365B16">
        <w:rPr>
          <w:rFonts w:ascii="Arial" w:hAnsi="Arial"/>
          <w:sz w:val="24"/>
          <w:szCs w:val="24"/>
        </w:rPr>
        <w:t xml:space="preserve">outubro/2022 </w:t>
      </w:r>
      <w:r w:rsidRPr="00365B16">
        <w:rPr>
          <w:rFonts w:ascii="Arial" w:hAnsi="Arial"/>
          <w:sz w:val="24"/>
          <w:szCs w:val="24"/>
        </w:rPr>
        <w:t>somando rendimentos da carteira</w:t>
      </w:r>
      <w:r w:rsidR="00E52731">
        <w:rPr>
          <w:rFonts w:ascii="Arial" w:hAnsi="Arial"/>
          <w:sz w:val="24"/>
          <w:szCs w:val="24"/>
        </w:rPr>
        <w:t xml:space="preserve"> e subtraído os resgates totalizou R$ 390.999.369,64 (trezentos e noventa milhões, novecentos e noventa e nove mil, trezentos e sessenta e nove reais e sessenta e quatro centavos).</w:t>
      </w:r>
    </w:p>
    <w:p w14:paraId="5F857FF6" w14:textId="29D2E980" w:rsidR="00D74262" w:rsidRPr="00365B16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365B16">
        <w:rPr>
          <w:rFonts w:ascii="Arial" w:hAnsi="Arial"/>
          <w:sz w:val="24"/>
          <w:szCs w:val="24"/>
        </w:rPr>
        <w:t xml:space="preserve">No quesito rentabilidade os fundos de renda fixa que se destacaram no mês de </w:t>
      </w:r>
      <w:r w:rsidR="00D74262" w:rsidRPr="00365B16">
        <w:rPr>
          <w:rFonts w:ascii="Arial" w:hAnsi="Arial"/>
          <w:sz w:val="24"/>
          <w:szCs w:val="24"/>
        </w:rPr>
        <w:t xml:space="preserve">outubro </w:t>
      </w:r>
      <w:r w:rsidRPr="00365B16">
        <w:rPr>
          <w:rFonts w:ascii="Arial" w:hAnsi="Arial"/>
          <w:sz w:val="24"/>
          <w:szCs w:val="24"/>
        </w:rPr>
        <w:t>de 2022 foram</w:t>
      </w:r>
      <w:r w:rsidR="001F63B8" w:rsidRPr="00365B16">
        <w:rPr>
          <w:rFonts w:ascii="Arial" w:hAnsi="Arial"/>
          <w:sz w:val="24"/>
          <w:szCs w:val="24"/>
        </w:rPr>
        <w:t xml:space="preserve"> </w:t>
      </w:r>
      <w:r w:rsidR="00D74262" w:rsidRPr="00365B16">
        <w:rPr>
          <w:rFonts w:ascii="Arial" w:hAnsi="Arial"/>
          <w:sz w:val="24"/>
          <w:szCs w:val="24"/>
        </w:rPr>
        <w:t>Caixa Brasil 2024 IV Títulos Públicos FI Renda Fixa, Caixa Brasil 2024 I Títulos Públicos FI Renda Fixa e BB Títulos Públicos IPCA III FI Renda Fixa Previdenciário, todos com rentabilidade de 1,89% no mês.</w:t>
      </w:r>
    </w:p>
    <w:p w14:paraId="55070D50" w14:textId="67912492" w:rsidR="00D74262" w:rsidRPr="00365B16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365B16">
        <w:rPr>
          <w:rFonts w:ascii="Arial" w:hAnsi="Arial"/>
          <w:sz w:val="24"/>
          <w:szCs w:val="24"/>
        </w:rPr>
        <w:lastRenderedPageBreak/>
        <w:t xml:space="preserve">Já em renda variável o destaque foram os fundos </w:t>
      </w:r>
      <w:r w:rsidR="00D74262" w:rsidRPr="00365B16">
        <w:rPr>
          <w:rFonts w:ascii="Arial" w:hAnsi="Arial"/>
          <w:sz w:val="24"/>
          <w:szCs w:val="24"/>
        </w:rPr>
        <w:t>Banestes Dividendos FIC Ações e AZ Quest SMALL MID Caps FIC Ações, com rentabilidade de 9,34% e 8,89%, respectivamente.</w:t>
      </w:r>
    </w:p>
    <w:p w14:paraId="64DD4BCE" w14:textId="603B1DFB" w:rsidR="00994D6B" w:rsidRPr="00365B16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365B16">
        <w:rPr>
          <w:rFonts w:ascii="Arial" w:hAnsi="Arial"/>
          <w:sz w:val="24"/>
          <w:szCs w:val="24"/>
        </w:rPr>
        <w:t xml:space="preserve">A administração dos recursos da carteira de investimentos, no mês de </w:t>
      </w:r>
      <w:r w:rsidR="00D74262" w:rsidRPr="00365B16">
        <w:rPr>
          <w:rFonts w:ascii="Arial" w:hAnsi="Arial"/>
          <w:sz w:val="24"/>
          <w:szCs w:val="24"/>
        </w:rPr>
        <w:t>outubro</w:t>
      </w:r>
      <w:r w:rsidRPr="00365B16">
        <w:rPr>
          <w:rFonts w:ascii="Arial" w:hAnsi="Arial"/>
          <w:sz w:val="24"/>
          <w:szCs w:val="24"/>
        </w:rPr>
        <w:t xml:space="preserve">/2022, está distribuída entre Caixa Econômica Federal com </w:t>
      </w:r>
      <w:r w:rsidR="00D74262" w:rsidRPr="00365B16">
        <w:rPr>
          <w:rFonts w:ascii="Arial" w:hAnsi="Arial"/>
          <w:sz w:val="24"/>
          <w:szCs w:val="24"/>
        </w:rPr>
        <w:t>30,28</w:t>
      </w:r>
      <w:r w:rsidRPr="00365B16">
        <w:rPr>
          <w:rFonts w:ascii="Arial" w:hAnsi="Arial"/>
          <w:sz w:val="24"/>
          <w:szCs w:val="24"/>
        </w:rPr>
        <w:t>%, BB Gestão de Recursos com</w:t>
      </w:r>
      <w:r w:rsidR="005C2899" w:rsidRPr="00365B16">
        <w:rPr>
          <w:rFonts w:ascii="Arial" w:hAnsi="Arial"/>
          <w:sz w:val="24"/>
          <w:szCs w:val="24"/>
        </w:rPr>
        <w:t xml:space="preserve"> </w:t>
      </w:r>
      <w:r w:rsidR="00D74262" w:rsidRPr="00365B16">
        <w:rPr>
          <w:rFonts w:ascii="Arial" w:hAnsi="Arial"/>
          <w:sz w:val="24"/>
          <w:szCs w:val="24"/>
        </w:rPr>
        <w:t>23,75</w:t>
      </w:r>
      <w:r w:rsidRPr="00365B16">
        <w:rPr>
          <w:rFonts w:ascii="Arial" w:hAnsi="Arial"/>
          <w:sz w:val="24"/>
          <w:szCs w:val="24"/>
        </w:rPr>
        <w:t xml:space="preserve">%, Banco do Estado do Espírito Santo com </w:t>
      </w:r>
      <w:r w:rsidR="00D74262" w:rsidRPr="00365B16">
        <w:rPr>
          <w:rFonts w:ascii="Arial" w:hAnsi="Arial"/>
          <w:sz w:val="24"/>
          <w:szCs w:val="24"/>
        </w:rPr>
        <w:t>20,46</w:t>
      </w:r>
      <w:r w:rsidRPr="00365B16">
        <w:rPr>
          <w:rFonts w:ascii="Arial" w:hAnsi="Arial"/>
          <w:sz w:val="24"/>
          <w:szCs w:val="24"/>
        </w:rPr>
        <w:t xml:space="preserve">%, BNP PARIBAS com </w:t>
      </w:r>
      <w:r w:rsidR="005C2899" w:rsidRPr="00365B16">
        <w:rPr>
          <w:rFonts w:ascii="Arial" w:hAnsi="Arial"/>
          <w:sz w:val="24"/>
          <w:szCs w:val="24"/>
        </w:rPr>
        <w:t>0,7</w:t>
      </w:r>
      <w:r w:rsidR="00D74262" w:rsidRPr="00365B16">
        <w:rPr>
          <w:rFonts w:ascii="Arial" w:hAnsi="Arial"/>
          <w:sz w:val="24"/>
          <w:szCs w:val="24"/>
        </w:rPr>
        <w:t>3</w:t>
      </w:r>
      <w:r w:rsidRPr="00365B16">
        <w:rPr>
          <w:rFonts w:ascii="Arial" w:hAnsi="Arial"/>
          <w:sz w:val="24"/>
          <w:szCs w:val="24"/>
        </w:rPr>
        <w:t xml:space="preserve">%, BEM DTVM com </w:t>
      </w:r>
      <w:r w:rsidR="00D74262" w:rsidRPr="00365B16">
        <w:rPr>
          <w:rFonts w:ascii="Arial" w:hAnsi="Arial"/>
          <w:sz w:val="24"/>
          <w:szCs w:val="24"/>
        </w:rPr>
        <w:t>1,45</w:t>
      </w:r>
      <w:r w:rsidRPr="00365B16">
        <w:rPr>
          <w:rFonts w:ascii="Arial" w:hAnsi="Arial"/>
          <w:sz w:val="24"/>
          <w:szCs w:val="24"/>
        </w:rPr>
        <w:t xml:space="preserve">% e Tesouro Nacional – Títulos Públicos com </w:t>
      </w:r>
      <w:r w:rsidR="00D74262" w:rsidRPr="00365B16">
        <w:rPr>
          <w:rFonts w:ascii="Arial" w:hAnsi="Arial"/>
          <w:sz w:val="24"/>
          <w:szCs w:val="24"/>
        </w:rPr>
        <w:t>23,33</w:t>
      </w:r>
      <w:r w:rsidRPr="00365B16">
        <w:rPr>
          <w:rFonts w:ascii="Arial" w:hAnsi="Arial"/>
          <w:sz w:val="24"/>
          <w:szCs w:val="24"/>
        </w:rPr>
        <w:t>%.</w:t>
      </w:r>
    </w:p>
    <w:p w14:paraId="18B1FC9F" w14:textId="530E2BAA" w:rsidR="00994D6B" w:rsidRPr="00365B16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365B16">
        <w:rPr>
          <w:rFonts w:ascii="Arial" w:hAnsi="Arial"/>
          <w:sz w:val="24"/>
          <w:szCs w:val="24"/>
        </w:rPr>
        <w:t xml:space="preserve">Quanto a estratégia de alocação dos recursos, o fundo previdenciário fechou o mês de </w:t>
      </w:r>
      <w:r w:rsidR="00D74262" w:rsidRPr="00365B16">
        <w:rPr>
          <w:rFonts w:ascii="Arial" w:hAnsi="Arial"/>
          <w:sz w:val="24"/>
          <w:szCs w:val="24"/>
        </w:rPr>
        <w:t>outubro</w:t>
      </w:r>
      <w:r w:rsidRPr="00365B16">
        <w:rPr>
          <w:rFonts w:ascii="Arial" w:hAnsi="Arial"/>
          <w:sz w:val="24"/>
          <w:szCs w:val="24"/>
        </w:rPr>
        <w:t xml:space="preserve">/2022 com </w:t>
      </w:r>
      <w:r w:rsidR="00DF0CA7" w:rsidRPr="00365B16">
        <w:rPr>
          <w:rFonts w:ascii="Arial" w:hAnsi="Arial"/>
          <w:sz w:val="24"/>
          <w:szCs w:val="24"/>
        </w:rPr>
        <w:t>78,26</w:t>
      </w:r>
      <w:r w:rsidRPr="00365B16">
        <w:rPr>
          <w:rFonts w:ascii="Arial" w:hAnsi="Arial"/>
          <w:sz w:val="24"/>
          <w:szCs w:val="24"/>
        </w:rPr>
        <w:t xml:space="preserve">% de seu patrimônio alocado em fundos de renda fixa e títulos do tesouro nacional; </w:t>
      </w:r>
      <w:r w:rsidR="00DF0CA7" w:rsidRPr="00365B16">
        <w:rPr>
          <w:rFonts w:ascii="Arial" w:hAnsi="Arial"/>
          <w:sz w:val="24"/>
          <w:szCs w:val="24"/>
        </w:rPr>
        <w:t>15,75</w:t>
      </w:r>
      <w:r w:rsidRPr="00365B16">
        <w:rPr>
          <w:rFonts w:ascii="Arial" w:hAnsi="Arial"/>
          <w:sz w:val="24"/>
          <w:szCs w:val="24"/>
        </w:rPr>
        <w:t xml:space="preserve">% alocados em fundos de renda variável e </w:t>
      </w:r>
      <w:r w:rsidR="005C2899" w:rsidRPr="00365B16">
        <w:rPr>
          <w:rFonts w:ascii="Arial" w:hAnsi="Arial"/>
          <w:sz w:val="24"/>
          <w:szCs w:val="24"/>
        </w:rPr>
        <w:t>5,</w:t>
      </w:r>
      <w:r w:rsidR="00DF0CA7" w:rsidRPr="00365B16">
        <w:rPr>
          <w:rFonts w:ascii="Arial" w:hAnsi="Arial"/>
          <w:sz w:val="24"/>
          <w:szCs w:val="24"/>
        </w:rPr>
        <w:t>98</w:t>
      </w:r>
      <w:r w:rsidRPr="00365B16">
        <w:rPr>
          <w:rFonts w:ascii="Arial" w:hAnsi="Arial"/>
          <w:sz w:val="24"/>
          <w:szCs w:val="24"/>
        </w:rPr>
        <w:t xml:space="preserve">% em fundos de renda variável no exterior distribuídos nas instituições financeiras administradoras de recursos cadastradas junto ao Instituto. </w:t>
      </w:r>
    </w:p>
    <w:p w14:paraId="7F3530FB" w14:textId="2C31B470" w:rsidR="00994D6B" w:rsidRPr="00365B16" w:rsidRDefault="0045105D">
      <w:pPr>
        <w:spacing w:before="119" w:after="119" w:line="360" w:lineRule="auto"/>
        <w:jc w:val="both"/>
        <w:rPr>
          <w:szCs w:val="24"/>
        </w:rPr>
      </w:pPr>
      <w:r w:rsidRPr="00365B16">
        <w:rPr>
          <w:rFonts w:ascii="Arial" w:hAnsi="Arial"/>
          <w:sz w:val="24"/>
          <w:szCs w:val="24"/>
        </w:rPr>
        <w:t xml:space="preserve">O Instituto de Previdência dos Servidores Públicos do Município de Cariacica tem como meta atuarial para o exercício de 2022 o indicador econômico IPCA, adicionado a mais 4,94% a.a., ou seja, IPCA + 4,94%, conforme definido na Avaliação Atuarial e meta de rentabilidade de 5,04% a.a. + IPCA, conforme apresentado pela consultoria Crédito e Mercado e demonstrado na Política de Investimentos. A meta atuarial mensal em </w:t>
      </w:r>
      <w:r w:rsidR="00A25B3F" w:rsidRPr="00365B16">
        <w:rPr>
          <w:rFonts w:ascii="Arial" w:hAnsi="Arial"/>
          <w:sz w:val="24"/>
          <w:szCs w:val="24"/>
        </w:rPr>
        <w:t>outubro</w:t>
      </w:r>
      <w:r w:rsidRPr="00365B16">
        <w:rPr>
          <w:rFonts w:ascii="Arial" w:hAnsi="Arial"/>
          <w:sz w:val="24"/>
          <w:szCs w:val="24"/>
        </w:rPr>
        <w:t xml:space="preserve">/2022 ficou em </w:t>
      </w:r>
      <w:r w:rsidR="00A25B3F" w:rsidRPr="00365B16">
        <w:rPr>
          <w:rFonts w:ascii="Arial" w:hAnsi="Arial"/>
          <w:sz w:val="24"/>
          <w:szCs w:val="24"/>
        </w:rPr>
        <w:t>0,98</w:t>
      </w:r>
      <w:r w:rsidR="001A6AAB" w:rsidRPr="00365B16">
        <w:rPr>
          <w:rFonts w:ascii="Arial" w:hAnsi="Arial"/>
          <w:sz w:val="24"/>
          <w:szCs w:val="24"/>
        </w:rPr>
        <w:t xml:space="preserve">% </w:t>
      </w:r>
      <w:r w:rsidRPr="00365B16">
        <w:rPr>
          <w:rFonts w:ascii="Arial" w:hAnsi="Arial"/>
          <w:sz w:val="24"/>
          <w:szCs w:val="24"/>
        </w:rPr>
        <w:t xml:space="preserve">e a meta atuarial acumulada no ano fechou o mês de </w:t>
      </w:r>
      <w:r w:rsidR="00A25B3F" w:rsidRPr="00365B16">
        <w:rPr>
          <w:rFonts w:ascii="Arial" w:hAnsi="Arial"/>
          <w:sz w:val="24"/>
          <w:szCs w:val="24"/>
        </w:rPr>
        <w:t xml:space="preserve">outubro </w:t>
      </w:r>
      <w:r w:rsidRPr="00365B16">
        <w:rPr>
          <w:rFonts w:ascii="Arial" w:hAnsi="Arial"/>
          <w:sz w:val="24"/>
          <w:szCs w:val="24"/>
        </w:rPr>
        <w:t xml:space="preserve">em </w:t>
      </w:r>
      <w:r w:rsidR="00A25B3F" w:rsidRPr="00365B16">
        <w:rPr>
          <w:rFonts w:ascii="Arial" w:hAnsi="Arial"/>
          <w:sz w:val="24"/>
          <w:szCs w:val="24"/>
        </w:rPr>
        <w:t>9,06</w:t>
      </w:r>
      <w:r w:rsidRPr="00365B16">
        <w:rPr>
          <w:rFonts w:ascii="Arial" w:hAnsi="Arial"/>
          <w:sz w:val="24"/>
          <w:szCs w:val="24"/>
        </w:rPr>
        <w:t xml:space="preserve">%, enquanto o retorno mensal da carteira de investimentos alcançou </w:t>
      </w:r>
      <w:r w:rsidR="00A25B3F" w:rsidRPr="00365B16">
        <w:rPr>
          <w:rFonts w:ascii="Arial" w:hAnsi="Arial"/>
          <w:sz w:val="24"/>
          <w:szCs w:val="24"/>
        </w:rPr>
        <w:t>1,82</w:t>
      </w:r>
      <w:r w:rsidRPr="00365B16">
        <w:rPr>
          <w:rFonts w:ascii="Arial" w:hAnsi="Arial"/>
          <w:sz w:val="24"/>
          <w:szCs w:val="24"/>
        </w:rPr>
        <w:t xml:space="preserve">%, ficando o retorno acumulado no ano em </w:t>
      </w:r>
      <w:r w:rsidR="00A25B3F" w:rsidRPr="00365B16">
        <w:rPr>
          <w:rFonts w:ascii="Arial" w:hAnsi="Arial"/>
          <w:sz w:val="24"/>
          <w:szCs w:val="24"/>
        </w:rPr>
        <w:t>3,99</w:t>
      </w:r>
      <w:r w:rsidRPr="00365B16">
        <w:rPr>
          <w:rFonts w:ascii="Arial" w:hAnsi="Arial"/>
          <w:sz w:val="24"/>
          <w:szCs w:val="24"/>
        </w:rPr>
        <w:t>%.</w:t>
      </w:r>
    </w:p>
    <w:p w14:paraId="0884FE11" w14:textId="09106713" w:rsidR="00144D4F" w:rsidRPr="00365B16" w:rsidRDefault="0045105D" w:rsidP="00EF0E39">
      <w:pPr>
        <w:spacing w:before="119" w:after="119"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365B16">
        <w:rPr>
          <w:rFonts w:ascii="Arial" w:eastAsia="Arial" w:hAnsi="Arial" w:cs="Arial"/>
          <w:sz w:val="24"/>
          <w:szCs w:val="24"/>
        </w:rPr>
        <w:t>No mercado financeiro o principal índice da Bolsa de Valo</w:t>
      </w:r>
      <w:r w:rsidR="001A6AAB" w:rsidRPr="00365B16">
        <w:rPr>
          <w:rFonts w:ascii="Arial" w:eastAsia="Arial" w:hAnsi="Arial" w:cs="Arial"/>
          <w:sz w:val="24"/>
          <w:szCs w:val="24"/>
        </w:rPr>
        <w:t>res brasileira</w:t>
      </w:r>
      <w:r w:rsidR="00144D4F" w:rsidRPr="00365B16">
        <w:rPr>
          <w:rFonts w:ascii="Arial" w:eastAsia="Arial" w:hAnsi="Arial" w:cs="Arial"/>
          <w:sz w:val="24"/>
          <w:szCs w:val="24"/>
        </w:rPr>
        <w:t xml:space="preserve">, </w:t>
      </w:r>
      <w:r w:rsidR="001F63B8" w:rsidRPr="00365B16">
        <w:rPr>
          <w:rFonts w:ascii="Arial" w:eastAsia="Arial" w:hAnsi="Arial" w:cs="Arial"/>
          <w:sz w:val="24"/>
          <w:szCs w:val="24"/>
        </w:rPr>
        <w:t>Ibovespa,</w:t>
      </w:r>
      <w:r w:rsidR="001A6AAB" w:rsidRPr="00365B16">
        <w:rPr>
          <w:rFonts w:ascii="Arial" w:eastAsia="Arial" w:hAnsi="Arial" w:cs="Arial"/>
          <w:sz w:val="24"/>
          <w:szCs w:val="24"/>
        </w:rPr>
        <w:t xml:space="preserve"> fechou o mês de </w:t>
      </w:r>
      <w:r w:rsidR="00144D4F" w:rsidRPr="00365B16">
        <w:rPr>
          <w:rFonts w:ascii="Arial" w:eastAsia="Arial" w:hAnsi="Arial" w:cs="Arial"/>
          <w:sz w:val="24"/>
          <w:szCs w:val="24"/>
        </w:rPr>
        <w:t xml:space="preserve">outubro </w:t>
      </w:r>
      <w:r w:rsidRPr="00365B16">
        <w:rPr>
          <w:rFonts w:ascii="Arial" w:eastAsia="Arial" w:hAnsi="Arial" w:cs="Arial"/>
          <w:sz w:val="24"/>
          <w:szCs w:val="24"/>
        </w:rPr>
        <w:t>com alta de</w:t>
      </w:r>
      <w:r w:rsidR="00144D4F" w:rsidRPr="00365B16">
        <w:rPr>
          <w:rFonts w:ascii="Arial" w:eastAsia="Arial" w:hAnsi="Arial" w:cs="Arial"/>
          <w:sz w:val="24"/>
          <w:szCs w:val="24"/>
        </w:rPr>
        <w:t xml:space="preserve"> 5,45</w:t>
      </w:r>
      <w:r w:rsidRPr="00365B16">
        <w:rPr>
          <w:rFonts w:ascii="Arial" w:eastAsia="Arial" w:hAnsi="Arial" w:cs="Arial"/>
          <w:sz w:val="24"/>
          <w:szCs w:val="24"/>
        </w:rPr>
        <w:t xml:space="preserve">% aos </w:t>
      </w:r>
      <w:r w:rsidR="00144D4F" w:rsidRPr="00365B16">
        <w:rPr>
          <w:rFonts w:ascii="Arial" w:eastAsia="Arial" w:hAnsi="Arial" w:cs="Arial"/>
          <w:sz w:val="24"/>
          <w:szCs w:val="24"/>
        </w:rPr>
        <w:t xml:space="preserve">116.037 </w:t>
      </w:r>
      <w:r w:rsidRPr="00365B16">
        <w:rPr>
          <w:rFonts w:ascii="Arial" w:eastAsia="Arial" w:hAnsi="Arial" w:cs="Arial"/>
          <w:sz w:val="24"/>
          <w:szCs w:val="24"/>
        </w:rPr>
        <w:t xml:space="preserve">pontos, </w:t>
      </w:r>
      <w:r w:rsidR="00881443" w:rsidRPr="00365B16">
        <w:rPr>
          <w:rFonts w:ascii="Arial" w:eastAsia="Arial" w:hAnsi="Arial" w:cs="Arial"/>
          <w:sz w:val="24"/>
          <w:szCs w:val="24"/>
        </w:rPr>
        <w:t xml:space="preserve">acumulando alta de 10,69% no ano. Já o dólar acumulou queda de 4,24% no mês. As bolsas americanas também fecharam o mês de outubro em alta, sendo Dow Jones 14%, S&amp;P 500 8% e Nasdaq 3,9%. No mercado interno o </w:t>
      </w:r>
      <w:r w:rsidR="00144D4F" w:rsidRPr="00365B16">
        <w:rPr>
          <w:rFonts w:ascii="Arial" w:hAnsi="Arial" w:cs="Arial"/>
          <w:spacing w:val="-3"/>
          <w:sz w:val="24"/>
          <w:szCs w:val="24"/>
          <w:shd w:val="clear" w:color="auto" w:fill="FFFFFF"/>
        </w:rPr>
        <w:t>resultado das eleições no primeiro turno veio diferente do esperado e isso fez com que a Bolsa subisse</w:t>
      </w:r>
      <w:r w:rsidR="00881443" w:rsidRPr="00365B16">
        <w:rPr>
          <w:rFonts w:ascii="Arial" w:hAnsi="Arial" w:cs="Arial"/>
          <w:spacing w:val="-3"/>
          <w:sz w:val="24"/>
          <w:szCs w:val="24"/>
          <w:shd w:val="clear" w:color="auto" w:fill="FFFFFF"/>
        </w:rPr>
        <w:t xml:space="preserve">, já que a diferença de votos entre os dois primeiros colocados foi relativamente pequena. </w:t>
      </w:r>
      <w:r w:rsidR="00B4581F" w:rsidRPr="00365B16">
        <w:rPr>
          <w:rFonts w:ascii="Arial" w:hAnsi="Arial" w:cs="Arial"/>
          <w:spacing w:val="-3"/>
          <w:sz w:val="24"/>
          <w:szCs w:val="24"/>
          <w:shd w:val="clear" w:color="auto" w:fill="FFFFFF"/>
        </w:rPr>
        <w:t xml:space="preserve">Já no </w:t>
      </w:r>
      <w:hyperlink r:id="rId7" w:tgtFrame="_blank" w:history="1">
        <w:r w:rsidR="00144D4F" w:rsidRPr="00365B16">
          <w:rPr>
            <w:rStyle w:val="Hyperlink"/>
            <w:rFonts w:ascii="Arial" w:hAnsi="Arial" w:cs="Arial"/>
            <w:color w:val="auto"/>
            <w:spacing w:val="-3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cenário externo</w:t>
        </w:r>
      </w:hyperlink>
      <w:r w:rsidR="00B4581F" w:rsidRPr="00365B16">
        <w:rPr>
          <w:rFonts w:ascii="Arial" w:hAnsi="Arial" w:cs="Arial"/>
          <w:sz w:val="24"/>
          <w:szCs w:val="24"/>
        </w:rPr>
        <w:t xml:space="preserve">, </w:t>
      </w:r>
      <w:r w:rsidR="00144D4F" w:rsidRPr="00365B16">
        <w:rPr>
          <w:rFonts w:ascii="Arial" w:hAnsi="Arial" w:cs="Arial"/>
          <w:spacing w:val="-3"/>
          <w:sz w:val="24"/>
          <w:szCs w:val="24"/>
          <w:shd w:val="clear" w:color="auto" w:fill="FFFFFF"/>
        </w:rPr>
        <w:t> </w:t>
      </w:r>
      <w:r w:rsidR="00B4581F" w:rsidRPr="00365B16">
        <w:rPr>
          <w:rFonts w:ascii="Arial" w:hAnsi="Arial" w:cs="Arial"/>
          <w:spacing w:val="-3"/>
          <w:sz w:val="24"/>
          <w:szCs w:val="24"/>
          <w:shd w:val="clear" w:color="auto" w:fill="FFFFFF"/>
        </w:rPr>
        <w:t xml:space="preserve">os </w:t>
      </w:r>
      <w:r w:rsidR="00144D4F" w:rsidRPr="00365B16">
        <w:rPr>
          <w:rFonts w:ascii="Arial" w:hAnsi="Arial" w:cs="Arial"/>
          <w:spacing w:val="-3"/>
          <w:sz w:val="24"/>
          <w:szCs w:val="24"/>
          <w:shd w:val="clear" w:color="auto" w:fill="FFFFFF"/>
        </w:rPr>
        <w:t xml:space="preserve">juros e inflação </w:t>
      </w:r>
      <w:r w:rsidR="00B4581F" w:rsidRPr="00365B16">
        <w:rPr>
          <w:rFonts w:ascii="Arial" w:hAnsi="Arial" w:cs="Arial"/>
          <w:spacing w:val="-3"/>
          <w:sz w:val="24"/>
          <w:szCs w:val="24"/>
          <w:shd w:val="clear" w:color="auto" w:fill="FFFFFF"/>
        </w:rPr>
        <w:t xml:space="preserve">dos EUA e Europa continuam influenciando os resultados da bolsa brasileira e os investidores continuam </w:t>
      </w:r>
      <w:r w:rsidR="00144D4F" w:rsidRPr="00365B16">
        <w:rPr>
          <w:rFonts w:ascii="Arial" w:hAnsi="Arial" w:cs="Arial"/>
          <w:spacing w:val="-3"/>
          <w:sz w:val="24"/>
          <w:szCs w:val="24"/>
          <w:shd w:val="clear" w:color="auto" w:fill="FFFFFF"/>
        </w:rPr>
        <w:t xml:space="preserve">acompanhando de perto as sinalizações econômicas dos EUA </w:t>
      </w:r>
      <w:r w:rsidR="00144D4F" w:rsidRPr="00365B16">
        <w:rPr>
          <w:rFonts w:ascii="Arial" w:hAnsi="Arial" w:cs="Arial"/>
          <w:spacing w:val="-3"/>
          <w:sz w:val="24"/>
          <w:szCs w:val="24"/>
          <w:shd w:val="clear" w:color="auto" w:fill="FFFFFF"/>
        </w:rPr>
        <w:lastRenderedPageBreak/>
        <w:t>e </w:t>
      </w:r>
      <w:hyperlink r:id="rId8" w:tgtFrame="_blank" w:history="1">
        <w:r w:rsidR="00144D4F" w:rsidRPr="00365B16">
          <w:rPr>
            <w:rStyle w:val="Hyperlink"/>
            <w:rFonts w:ascii="Arial" w:hAnsi="Arial" w:cs="Arial"/>
            <w:color w:val="auto"/>
            <w:spacing w:val="-3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Europa</w:t>
        </w:r>
      </w:hyperlink>
      <w:r w:rsidR="00144D4F" w:rsidRPr="00365B16">
        <w:rPr>
          <w:rFonts w:ascii="Arial" w:hAnsi="Arial" w:cs="Arial"/>
          <w:spacing w:val="-3"/>
          <w:sz w:val="24"/>
          <w:szCs w:val="24"/>
          <w:shd w:val="clear" w:color="auto" w:fill="FFFFFF"/>
        </w:rPr>
        <w:t>. As principais economias do mundo estão elevando suas taxas de juros para conter o aumento acelerado dos preços, o que potencializa o risco de recessão global.</w:t>
      </w:r>
    </w:p>
    <w:p w14:paraId="1DE0842A" w14:textId="77777777" w:rsidR="00994D6B" w:rsidRPr="00365B16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365B16">
        <w:rPr>
          <w:rFonts w:ascii="Arial" w:hAnsi="Arial"/>
          <w:sz w:val="24"/>
          <w:szCs w:val="24"/>
        </w:rPr>
        <w:t>Todas as alocações e realocações de recursos realizadas pelo Comitê de Investimentos seguem a Política de Investimentos do IPC, previamente elaborada pelo Comitê e aprovada pelo Conselho Administrativo, e filosofia de investimentos do Comitê de Investimentos buscando sempre investimentos que agreguem rentabilidade com a melhor relação risco x retorno, diversificação e balanceamento da carteira de investimentos.</w:t>
      </w:r>
    </w:p>
    <w:p w14:paraId="493AF608" w14:textId="77777777" w:rsidR="00994D6B" w:rsidRPr="00365B16" w:rsidRDefault="0045105D">
      <w:pPr>
        <w:spacing w:before="119" w:after="119" w:line="360" w:lineRule="auto"/>
        <w:jc w:val="both"/>
        <w:rPr>
          <w:rFonts w:ascii="Arial" w:hAnsi="Arial"/>
          <w:sz w:val="24"/>
          <w:szCs w:val="24"/>
        </w:rPr>
      </w:pPr>
      <w:r w:rsidRPr="00365B16">
        <w:rPr>
          <w:rFonts w:ascii="Arial" w:hAnsi="Arial"/>
          <w:sz w:val="24"/>
          <w:szCs w:val="24"/>
        </w:rPr>
        <w:t>Ressalta-se que os dados dispostos nesse relatório são referentes ao fundo previdenciário enquanto os relatórios disponibilizados no Portal da Transparência do IPC são dados consolidados, ou seja, incluem fundo previdenciário e fundo financeiro, assim divulgados para atender a legislação vigente.</w:t>
      </w:r>
    </w:p>
    <w:p w14:paraId="75FD6247" w14:textId="77777777" w:rsidR="00994D6B" w:rsidRPr="00365B16" w:rsidRDefault="0045105D">
      <w:pPr>
        <w:spacing w:before="119" w:after="119" w:line="360" w:lineRule="auto"/>
        <w:jc w:val="both"/>
        <w:rPr>
          <w:rFonts w:ascii="Arial" w:hAnsi="Arial"/>
          <w:b/>
          <w:sz w:val="23"/>
          <w:szCs w:val="23"/>
        </w:rPr>
      </w:pPr>
      <w:r w:rsidRPr="00365B16">
        <w:rPr>
          <w:rFonts w:ascii="Arial" w:eastAsia="Times New Roman" w:hAnsi="Arial"/>
          <w:sz w:val="24"/>
          <w:szCs w:val="24"/>
          <w:lang w:eastAsia="pt-BR"/>
        </w:rPr>
        <w:t>Este é o relatório.</w:t>
      </w:r>
      <w:r w:rsidRPr="00365B16">
        <w:rPr>
          <w:rFonts w:ascii="Arial" w:hAnsi="Arial"/>
          <w:b/>
          <w:sz w:val="24"/>
          <w:szCs w:val="24"/>
        </w:rPr>
        <w:t xml:space="preserve"> </w:t>
      </w:r>
    </w:p>
    <w:p w14:paraId="14B021AD" w14:textId="263C7494" w:rsidR="00994D6B" w:rsidRPr="00365B16" w:rsidRDefault="0045105D">
      <w:pPr>
        <w:spacing w:before="120" w:after="0" w:line="240" w:lineRule="auto"/>
        <w:jc w:val="right"/>
        <w:rPr>
          <w:rFonts w:ascii="Arial" w:eastAsia="Times New Roman" w:hAnsi="Arial"/>
          <w:sz w:val="24"/>
          <w:szCs w:val="24"/>
        </w:rPr>
      </w:pPr>
      <w:r w:rsidRPr="00365B16">
        <w:rPr>
          <w:rFonts w:ascii="Arial" w:eastAsia="Times New Roman" w:hAnsi="Arial"/>
          <w:sz w:val="24"/>
          <w:szCs w:val="24"/>
          <w:lang w:eastAsia="pt-BR"/>
        </w:rPr>
        <w:t xml:space="preserve">Cariacica, </w:t>
      </w:r>
      <w:r w:rsidR="00B4581F" w:rsidRPr="00365B16">
        <w:rPr>
          <w:rFonts w:ascii="Arial" w:eastAsia="Times New Roman" w:hAnsi="Arial"/>
          <w:sz w:val="24"/>
          <w:szCs w:val="24"/>
          <w:lang w:eastAsia="pt-BR"/>
        </w:rPr>
        <w:t xml:space="preserve">16 </w:t>
      </w:r>
      <w:r w:rsidR="00EF0E39" w:rsidRPr="00365B16">
        <w:rPr>
          <w:rFonts w:ascii="Arial" w:eastAsia="Times New Roman" w:hAnsi="Arial"/>
          <w:sz w:val="24"/>
          <w:szCs w:val="24"/>
          <w:lang w:eastAsia="pt-BR"/>
        </w:rPr>
        <w:t xml:space="preserve">de </w:t>
      </w:r>
      <w:r w:rsidR="00B4581F" w:rsidRPr="00365B16">
        <w:rPr>
          <w:rFonts w:ascii="Arial" w:eastAsia="Times New Roman" w:hAnsi="Arial"/>
          <w:sz w:val="24"/>
          <w:szCs w:val="24"/>
          <w:lang w:eastAsia="pt-BR"/>
        </w:rPr>
        <w:t>novembro</w:t>
      </w:r>
      <w:r w:rsidR="00EF0E39" w:rsidRPr="00365B16">
        <w:rPr>
          <w:rFonts w:ascii="Arial" w:eastAsia="Times New Roman" w:hAnsi="Arial"/>
          <w:sz w:val="24"/>
          <w:szCs w:val="24"/>
          <w:lang w:eastAsia="pt-BR"/>
        </w:rPr>
        <w:t xml:space="preserve"> </w:t>
      </w:r>
      <w:r w:rsidRPr="00365B16">
        <w:rPr>
          <w:rFonts w:ascii="Arial" w:eastAsia="Times New Roman" w:hAnsi="Arial"/>
          <w:sz w:val="24"/>
          <w:szCs w:val="24"/>
          <w:lang w:eastAsia="pt-BR"/>
        </w:rPr>
        <w:t>de 2022.</w:t>
      </w:r>
    </w:p>
    <w:p w14:paraId="4408A245" w14:textId="77777777" w:rsidR="00994D6B" w:rsidRPr="00365B16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1A46024B" w14:textId="77777777" w:rsidR="00994D6B" w:rsidRPr="00365B16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0AD2A6D4" w14:textId="77777777" w:rsidR="00994D6B" w:rsidRPr="00365B16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7"/>
        <w:tblW w:w="5306" w:type="pct"/>
        <w:tblLook w:val="01E0" w:firstRow="1" w:lastRow="1" w:firstColumn="1" w:lastColumn="1" w:noHBand="0" w:noVBand="0"/>
      </w:tblPr>
      <w:tblGrid>
        <w:gridCol w:w="5387"/>
        <w:gridCol w:w="5070"/>
      </w:tblGrid>
      <w:tr w:rsidR="00994D6B" w:rsidRPr="00365B16" w14:paraId="7E3DE551" w14:textId="77777777">
        <w:trPr>
          <w:trHeight w:val="182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E56D39A" w14:textId="77777777" w:rsidR="00994D6B" w:rsidRPr="00365B16" w:rsidRDefault="0045105D">
            <w:pPr>
              <w:spacing w:after="0" w:line="240" w:lineRule="auto"/>
              <w:ind w:left="250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365B16">
              <w:rPr>
                <w:rFonts w:ascii="Arial" w:hAnsi="Arial"/>
                <w:b/>
                <w:sz w:val="24"/>
                <w:szCs w:val="24"/>
              </w:rPr>
              <w:t>Paulo Henrique da Costa e Silva Matos</w:t>
            </w:r>
          </w:p>
          <w:p w14:paraId="7400AACF" w14:textId="77777777" w:rsidR="00994D6B" w:rsidRPr="00365B16" w:rsidRDefault="0045105D">
            <w:pPr>
              <w:spacing w:after="0" w:line="240" w:lineRule="auto"/>
              <w:ind w:left="250"/>
              <w:jc w:val="center"/>
              <w:rPr>
                <w:rFonts w:ascii="Arial" w:hAnsi="Arial"/>
              </w:rPr>
            </w:pPr>
            <w:r w:rsidRPr="00365B16">
              <w:rPr>
                <w:rFonts w:ascii="Arial" w:hAnsi="Arial"/>
              </w:rPr>
              <w:t>Gestor Certificado CPA 10</w:t>
            </w:r>
          </w:p>
          <w:p w14:paraId="58A5CEAB" w14:textId="77777777" w:rsidR="00994D6B" w:rsidRPr="00365B16" w:rsidRDefault="00994D6B">
            <w:pPr>
              <w:spacing w:after="0" w:line="240" w:lineRule="auto"/>
              <w:ind w:left="25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BF65F8B" w14:textId="77777777" w:rsidR="00994D6B" w:rsidRPr="00365B16" w:rsidRDefault="0045105D">
            <w:pPr>
              <w:spacing w:after="0" w:line="240" w:lineRule="auto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365B16">
              <w:rPr>
                <w:rFonts w:ascii="Arial" w:eastAsia="Times New Roman" w:hAnsi="Arial"/>
                <w:b/>
                <w:sz w:val="24"/>
                <w:szCs w:val="24"/>
                <w:lang w:eastAsia="pt-BR"/>
              </w:rPr>
              <w:t>Jean Felipe Nunes Anunciação</w:t>
            </w:r>
          </w:p>
          <w:p w14:paraId="65BC4723" w14:textId="77777777" w:rsidR="00994D6B" w:rsidRPr="00365B16" w:rsidRDefault="0045105D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365B16">
              <w:rPr>
                <w:rFonts w:ascii="Arial" w:hAnsi="Arial"/>
              </w:rPr>
              <w:t>Gestor Certificado CPA 10</w:t>
            </w:r>
          </w:p>
          <w:p w14:paraId="0301FC6F" w14:textId="77777777" w:rsidR="00994D6B" w:rsidRPr="00365B16" w:rsidRDefault="00994D6B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</w:tc>
      </w:tr>
    </w:tbl>
    <w:p w14:paraId="27936112" w14:textId="77777777" w:rsidR="00994D6B" w:rsidRPr="00365B16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5BFFB7B2" w14:textId="77777777" w:rsidR="00994D6B" w:rsidRPr="00365B16" w:rsidRDefault="00994D6B">
      <w:pPr>
        <w:spacing w:before="120"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77"/>
        <w:tblW w:w="5306" w:type="pct"/>
        <w:tblLook w:val="01E0" w:firstRow="1" w:lastRow="1" w:firstColumn="1" w:lastColumn="1" w:noHBand="0" w:noVBand="0"/>
      </w:tblPr>
      <w:tblGrid>
        <w:gridCol w:w="5387"/>
        <w:gridCol w:w="5070"/>
      </w:tblGrid>
      <w:tr w:rsidR="00994D6B" w:rsidRPr="00365B16" w14:paraId="324690F1" w14:textId="77777777">
        <w:trPr>
          <w:trHeight w:val="182"/>
        </w:trPr>
        <w:tc>
          <w:tcPr>
            <w:tcW w:w="257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C36FE6D" w14:textId="77777777" w:rsidR="00994D6B" w:rsidRPr="00365B16" w:rsidRDefault="0045105D">
            <w:pPr>
              <w:spacing w:after="0"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 w:rsidRPr="00365B16">
              <w:rPr>
                <w:rFonts w:ascii="Arial" w:hAnsi="Arial"/>
                <w:b/>
                <w:sz w:val="24"/>
                <w:szCs w:val="24"/>
              </w:rPr>
              <w:t>Eliane Santana Tavares</w:t>
            </w:r>
          </w:p>
          <w:p w14:paraId="64CBA8D6" w14:textId="77777777" w:rsidR="00994D6B" w:rsidRPr="00365B16" w:rsidRDefault="0045105D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365B16">
              <w:rPr>
                <w:rFonts w:ascii="Arial" w:hAnsi="Arial"/>
              </w:rPr>
              <w:t>Gestor Certificado CPA 10</w:t>
            </w:r>
          </w:p>
        </w:tc>
        <w:tc>
          <w:tcPr>
            <w:tcW w:w="2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41902B7" w14:textId="77777777" w:rsidR="00994D6B" w:rsidRPr="00365B16" w:rsidRDefault="0045105D">
            <w:pPr>
              <w:spacing w:after="0" w:line="240" w:lineRule="auto"/>
              <w:contextualSpacing/>
              <w:jc w:val="center"/>
              <w:rPr>
                <w:rFonts w:ascii="Arial" w:hAnsi="Arial"/>
                <w:b/>
                <w:sz w:val="23"/>
                <w:szCs w:val="23"/>
              </w:rPr>
            </w:pPr>
            <w:r w:rsidRPr="00365B16">
              <w:rPr>
                <w:rFonts w:ascii="Arial" w:hAnsi="Arial"/>
                <w:b/>
                <w:sz w:val="24"/>
                <w:szCs w:val="24"/>
              </w:rPr>
              <w:t>Rodrigo Garcia Giori</w:t>
            </w:r>
          </w:p>
          <w:p w14:paraId="7E8A12AC" w14:textId="77777777" w:rsidR="00994D6B" w:rsidRPr="00365B16" w:rsidRDefault="0045105D">
            <w:pPr>
              <w:spacing w:after="0" w:line="240" w:lineRule="auto"/>
              <w:jc w:val="center"/>
              <w:rPr>
                <w:rFonts w:ascii="Arial" w:hAnsi="Arial"/>
              </w:rPr>
            </w:pPr>
            <w:r w:rsidRPr="00365B16">
              <w:rPr>
                <w:rFonts w:ascii="Arial" w:hAnsi="Arial"/>
              </w:rPr>
              <w:t>Gestor Certificado CPA 20</w:t>
            </w:r>
          </w:p>
          <w:p w14:paraId="11FB5BC7" w14:textId="77777777" w:rsidR="00994D6B" w:rsidRPr="00365B16" w:rsidRDefault="00994D6B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  <w:p w14:paraId="72FCAE8B" w14:textId="77777777" w:rsidR="00994D6B" w:rsidRPr="00365B16" w:rsidRDefault="00994D6B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  <w:p w14:paraId="62C0EEC0" w14:textId="77777777" w:rsidR="00994D6B" w:rsidRPr="00365B16" w:rsidRDefault="00994D6B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  <w:p w14:paraId="1E941717" w14:textId="77777777" w:rsidR="00994D6B" w:rsidRPr="00365B16" w:rsidRDefault="00994D6B">
            <w:pPr>
              <w:spacing w:after="0" w:line="240" w:lineRule="auto"/>
              <w:jc w:val="center"/>
              <w:rPr>
                <w:rFonts w:ascii="Arial" w:eastAsia="Times New Roman" w:hAnsi="Arial"/>
                <w:b/>
              </w:rPr>
            </w:pPr>
          </w:p>
        </w:tc>
      </w:tr>
    </w:tbl>
    <w:p w14:paraId="5833413F" w14:textId="77777777" w:rsidR="00994D6B" w:rsidRPr="00365B16" w:rsidRDefault="0045105D">
      <w:pPr>
        <w:spacing w:after="0" w:line="240" w:lineRule="auto"/>
        <w:contextualSpacing/>
        <w:jc w:val="center"/>
        <w:rPr>
          <w:rFonts w:ascii="Arial" w:hAnsi="Arial"/>
          <w:sz w:val="23"/>
          <w:szCs w:val="23"/>
        </w:rPr>
      </w:pPr>
      <w:r w:rsidRPr="00365B16">
        <w:rPr>
          <w:rFonts w:ascii="Arial" w:hAnsi="Arial"/>
          <w:b/>
          <w:sz w:val="24"/>
          <w:szCs w:val="24"/>
        </w:rPr>
        <w:t xml:space="preserve">Juliana de Lima Silva Rodrigues </w:t>
      </w:r>
    </w:p>
    <w:p w14:paraId="415AE39B" w14:textId="77777777" w:rsidR="00994D6B" w:rsidRPr="00365B16" w:rsidRDefault="0045105D">
      <w:pPr>
        <w:spacing w:after="0" w:line="240" w:lineRule="auto"/>
        <w:contextualSpacing/>
        <w:jc w:val="center"/>
        <w:rPr>
          <w:rFonts w:ascii="Arial" w:eastAsia="Times New Roman" w:hAnsi="Arial"/>
        </w:rPr>
      </w:pPr>
      <w:r w:rsidRPr="00365B16">
        <w:rPr>
          <w:rFonts w:ascii="Arial" w:eastAsia="Times New Roman" w:hAnsi="Arial"/>
          <w:lang w:eastAsia="pt-BR"/>
        </w:rPr>
        <w:t>Presidente do Comitê de Investimentos</w:t>
      </w:r>
    </w:p>
    <w:p w14:paraId="56DA835B" w14:textId="77777777" w:rsidR="00994D6B" w:rsidRPr="00365B16" w:rsidRDefault="0045105D">
      <w:pPr>
        <w:spacing w:after="0" w:line="240" w:lineRule="auto"/>
        <w:jc w:val="center"/>
        <w:rPr>
          <w:rFonts w:ascii="Arial" w:hAnsi="Arial"/>
        </w:rPr>
      </w:pPr>
      <w:r w:rsidRPr="00365B16">
        <w:rPr>
          <w:rFonts w:ascii="Arial" w:hAnsi="Arial"/>
        </w:rPr>
        <w:t>Gestor Certificado CPA 20</w:t>
      </w:r>
    </w:p>
    <w:sectPr w:rsidR="00994D6B" w:rsidRPr="00365B16">
      <w:headerReference w:type="default" r:id="rId9"/>
      <w:footerReference w:type="default" r:id="rId10"/>
      <w:pgSz w:w="11906" w:h="16838"/>
      <w:pgMar w:top="567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078F9" w14:textId="77777777" w:rsidR="00B16714" w:rsidRDefault="00B16714">
      <w:pPr>
        <w:spacing w:after="0" w:line="240" w:lineRule="auto"/>
      </w:pPr>
      <w:r>
        <w:separator/>
      </w:r>
    </w:p>
  </w:endnote>
  <w:endnote w:type="continuationSeparator" w:id="0">
    <w:p w14:paraId="278CB051" w14:textId="77777777" w:rsidR="00B16714" w:rsidRDefault="00B1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78821" w14:textId="77777777" w:rsidR="00994D6B" w:rsidRDefault="0045105D">
    <w:pPr>
      <w:pStyle w:val="Rodap"/>
      <w:spacing w:after="0" w:line="240" w:lineRule="auto"/>
      <w:jc w:val="center"/>
      <w:rPr>
        <w:rFonts w:ascii="Arial" w:hAnsi="Arial"/>
        <w:sz w:val="20"/>
        <w:szCs w:val="20"/>
      </w:rPr>
    </w:pPr>
    <w:r>
      <w:rPr>
        <w:rFonts w:ascii="Arial" w:hAnsi="Arial"/>
        <w:sz w:val="20"/>
        <w:szCs w:val="20"/>
      </w:rPr>
      <w:t>Rua Edgar Gonçalves, s/n, Campo Grande, Cariacica/ES</w:t>
    </w:r>
  </w:p>
  <w:p w14:paraId="461E3A0C" w14:textId="77777777" w:rsidR="00994D6B" w:rsidRDefault="0045105D">
    <w:pPr>
      <w:pStyle w:val="Rodap"/>
      <w:spacing w:after="0" w:line="240" w:lineRule="auto"/>
      <w:jc w:val="center"/>
      <w:rPr>
        <w:rFonts w:ascii="Arial" w:hAnsi="Arial"/>
        <w:sz w:val="20"/>
        <w:szCs w:val="20"/>
        <w:lang w:val="en-US"/>
      </w:rPr>
    </w:pPr>
    <w:r>
      <w:rPr>
        <w:rFonts w:ascii="Arial" w:hAnsi="Arial"/>
        <w:sz w:val="20"/>
        <w:szCs w:val="20"/>
        <w:lang w:val="en-US"/>
      </w:rPr>
      <w:t xml:space="preserve">CEP: 29.146-550 – Tel: (27)3396-7544 – </w:t>
    </w:r>
    <w:r w:rsidR="00B16714">
      <w:fldChar w:fldCharType="begin"/>
    </w:r>
    <w:r w:rsidR="00B16714" w:rsidRPr="002F1AE8">
      <w:rPr>
        <w:lang w:val="en-US"/>
      </w:rPr>
      <w:instrText xml:space="preserve"> HYPERLINK "mailto:comunicaçãoipc@ipccariacica.es.gov.br" </w:instrText>
    </w:r>
    <w:r w:rsidR="00B16714">
      <w:fldChar w:fldCharType="separate"/>
    </w:r>
    <w:r>
      <w:rPr>
        <w:rStyle w:val="Hyperlink"/>
        <w:rFonts w:ascii="Arial" w:hAnsi="Arial"/>
        <w:sz w:val="20"/>
        <w:szCs w:val="20"/>
        <w:lang w:val="en-US"/>
      </w:rPr>
      <w:t>comunicaçãoipc@ipccariacica.es.gov.br</w:t>
    </w:r>
    <w:r w:rsidR="00B16714">
      <w:rPr>
        <w:rStyle w:val="Hyperlink"/>
        <w:rFonts w:ascii="Arial" w:hAnsi="Arial"/>
        <w:sz w:val="20"/>
        <w:szCs w:val="20"/>
        <w:lang w:val="en-US"/>
      </w:rPr>
      <w:fldChar w:fldCharType="end"/>
    </w:r>
  </w:p>
  <w:p w14:paraId="10A5B2F5" w14:textId="77777777" w:rsidR="00994D6B" w:rsidRDefault="00CD4BA6">
    <w:pPr>
      <w:pStyle w:val="Rodap"/>
      <w:spacing w:after="0" w:line="240" w:lineRule="auto"/>
      <w:jc w:val="center"/>
      <w:rPr>
        <w:lang w:val="en-US"/>
      </w:rPr>
    </w:pPr>
    <w:hyperlink r:id="rId1" w:history="1">
      <w:r w:rsidR="0045105D">
        <w:rPr>
          <w:rStyle w:val="Hyperlink"/>
          <w:rFonts w:ascii="Arial" w:hAnsi="Arial"/>
          <w:sz w:val="20"/>
          <w:szCs w:val="20"/>
          <w:lang w:val="en-US"/>
        </w:rPr>
        <w:t>www.ipc.cariacica.es.gov.br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1FE2F8" w14:textId="77777777" w:rsidR="00B16714" w:rsidRDefault="00B16714">
      <w:pPr>
        <w:spacing w:after="0" w:line="240" w:lineRule="auto"/>
      </w:pPr>
      <w:r>
        <w:separator/>
      </w:r>
    </w:p>
  </w:footnote>
  <w:footnote w:type="continuationSeparator" w:id="0">
    <w:p w14:paraId="553DDEB5" w14:textId="77777777" w:rsidR="00B16714" w:rsidRDefault="00B1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9C4CA" w14:textId="77777777" w:rsidR="00994D6B" w:rsidRDefault="00B16714">
    <w:pPr>
      <w:spacing w:after="0" w:line="240" w:lineRule="auto"/>
      <w:contextualSpacing/>
      <w:jc w:val="center"/>
      <w:rPr>
        <w:rFonts w:ascii="Arial" w:hAnsi="Arial"/>
        <w:b/>
        <w:sz w:val="24"/>
        <w:szCs w:val="24"/>
      </w:rPr>
    </w:pPr>
    <w:r>
      <w:rPr>
        <w:noProof/>
        <w:lang w:eastAsia="pt-BR"/>
      </w:rPr>
      <w:pict w14:anchorId="707CBE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1" o:spid="_x0000_i1025" type="#_x0000_t75" style="width:1in;height:50.25pt;visibility:visible;mso-wrap-style:square">
          <v:imagedata r:id="rId1" o:title=""/>
        </v:shape>
      </w:pict>
    </w:r>
  </w:p>
  <w:p w14:paraId="4A0F46C9" w14:textId="77777777" w:rsidR="00994D6B" w:rsidRDefault="0045105D">
    <w:pPr>
      <w:spacing w:after="0" w:line="240" w:lineRule="auto"/>
      <w:contextualSpacing/>
      <w:jc w:val="center"/>
      <w:rPr>
        <w:rFonts w:ascii="Arial" w:hAnsi="Arial"/>
        <w:b/>
        <w:sz w:val="26"/>
        <w:szCs w:val="26"/>
      </w:rPr>
    </w:pPr>
    <w:r>
      <w:rPr>
        <w:rFonts w:ascii="Arial" w:hAnsi="Arial"/>
        <w:b/>
        <w:sz w:val="26"/>
        <w:szCs w:val="26"/>
      </w:rPr>
      <w:t>Instituto de Previdência dos Servidores Públicos do Município de Cariacica</w:t>
    </w:r>
  </w:p>
  <w:p w14:paraId="471B58D9" w14:textId="77777777" w:rsidR="00994D6B" w:rsidRDefault="00994D6B">
    <w:pPr>
      <w:pStyle w:val="Cabealho"/>
      <w:spacing w:after="0" w:line="240" w:lineRule="auto"/>
      <w:jc w:val="center"/>
      <w:rPr>
        <w:rFonts w:ascii="Arial" w:hAnsi="Arial"/>
        <w:b/>
        <w:sz w:val="16"/>
        <w:szCs w:val="16"/>
      </w:rPr>
    </w:pPr>
  </w:p>
  <w:p w14:paraId="7F2C4FC6" w14:textId="77777777" w:rsidR="00994D6B" w:rsidRDefault="0045105D">
    <w:pPr>
      <w:pStyle w:val="Cabealho"/>
      <w:jc w:val="center"/>
    </w:pPr>
    <w:r>
      <w:rPr>
        <w:rFonts w:ascii="Arial" w:hAnsi="Arial"/>
        <w:b/>
        <w:sz w:val="28"/>
        <w:szCs w:val="28"/>
      </w:rPr>
      <w:t>COMITÊ DE INVESTIMENTOS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6A724C"/>
    <w:multiLevelType w:val="hybridMultilevel"/>
    <w:tmpl w:val="181C6A4E"/>
    <w:lvl w:ilvl="0" w:tplc="B1A224D4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 w:tplc="63004F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F27E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B6C0D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13008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8F474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8E9F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7A53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9FA13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63C4345A"/>
    <w:multiLevelType w:val="hybridMultilevel"/>
    <w:tmpl w:val="55D0A7E2"/>
    <w:lvl w:ilvl="0" w:tplc="2096715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70BA15B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CF6CE82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CE705C8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A65A3CB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AE80EE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BBA1D6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C6BEE6E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2F08A74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4D6B"/>
    <w:rsid w:val="00070354"/>
    <w:rsid w:val="000B7BA7"/>
    <w:rsid w:val="000F0038"/>
    <w:rsid w:val="00144D4F"/>
    <w:rsid w:val="00147701"/>
    <w:rsid w:val="0015067C"/>
    <w:rsid w:val="001A6AAB"/>
    <w:rsid w:val="001F63B8"/>
    <w:rsid w:val="002861DD"/>
    <w:rsid w:val="002F1AE8"/>
    <w:rsid w:val="00365B16"/>
    <w:rsid w:val="003B08B4"/>
    <w:rsid w:val="003C1885"/>
    <w:rsid w:val="0045105D"/>
    <w:rsid w:val="005569C5"/>
    <w:rsid w:val="005C2899"/>
    <w:rsid w:val="00654694"/>
    <w:rsid w:val="007A07D3"/>
    <w:rsid w:val="007F76E3"/>
    <w:rsid w:val="00816328"/>
    <w:rsid w:val="008362C3"/>
    <w:rsid w:val="00881443"/>
    <w:rsid w:val="008C39CC"/>
    <w:rsid w:val="008D423B"/>
    <w:rsid w:val="008F1108"/>
    <w:rsid w:val="00994D6B"/>
    <w:rsid w:val="00A04EBD"/>
    <w:rsid w:val="00A25B3F"/>
    <w:rsid w:val="00A54BBC"/>
    <w:rsid w:val="00AC2ECC"/>
    <w:rsid w:val="00B12C2D"/>
    <w:rsid w:val="00B16714"/>
    <w:rsid w:val="00B4581F"/>
    <w:rsid w:val="00B86879"/>
    <w:rsid w:val="00B868D7"/>
    <w:rsid w:val="00BD7901"/>
    <w:rsid w:val="00C03D07"/>
    <w:rsid w:val="00C5086B"/>
    <w:rsid w:val="00C97BB1"/>
    <w:rsid w:val="00CB1499"/>
    <w:rsid w:val="00CD4BA6"/>
    <w:rsid w:val="00D4349E"/>
    <w:rsid w:val="00D74262"/>
    <w:rsid w:val="00DF0CA7"/>
    <w:rsid w:val="00E52731"/>
    <w:rsid w:val="00EF0E39"/>
    <w:rsid w:val="00F02437"/>
    <w:rsid w:val="00F878E1"/>
    <w:rsid w:val="00F909C2"/>
    <w:rsid w:val="00FC636A"/>
    <w:rsid w:val="00FD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0A4D8"/>
  <w15:docId w15:val="{DFA8D20F-42E0-4C9D-A422-EA84409DF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Ttulo2">
    <w:name w:val="heading 2"/>
    <w:basedOn w:val="Normal"/>
    <w:link w:val="Ttulo2Char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Ttulo3Char">
    <w:name w:val="Título 3 Char"/>
    <w:link w:val="Ttulo3"/>
    <w:uiPriority w:val="9"/>
    <w:rPr>
      <w:rFonts w:ascii="Arial" w:eastAsia="Arial" w:hAnsi="Arial" w:cs="Arial"/>
      <w:sz w:val="30"/>
      <w:szCs w:val="30"/>
    </w:rPr>
  </w:style>
  <w:style w:type="character" w:customStyle="1" w:styleId="Ttulo4Char">
    <w:name w:val="Título 4 Char"/>
    <w:link w:val="Ttu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tulo5Char">
    <w:name w:val="Título 5 Char"/>
    <w:link w:val="Ttu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tulo6Char">
    <w:name w:val="Título 6 Char"/>
    <w:link w:val="Ttu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tulo7Char">
    <w:name w:val="Título 7 Char"/>
    <w:link w:val="Ttu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tulo8Char">
    <w:name w:val="Título 8 Char"/>
    <w:link w:val="Ttu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tulo9Char">
    <w:name w:val="Título 9 Char"/>
    <w:link w:val="Ttu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styleId="SemEspaamento">
    <w:name w:val="No Spacing"/>
    <w:rPr>
      <w:rFonts w:ascii="Calibri" w:eastAsia="Calibri" w:hAnsi="Calibri"/>
      <w:sz w:val="22"/>
      <w:szCs w:val="22"/>
      <w:lang w:eastAsia="zh-CN"/>
    </w:rPr>
  </w:style>
  <w:style w:type="paragraph" w:styleId="Ttulo">
    <w:name w:val="Title"/>
    <w:basedOn w:val="Normal"/>
    <w:next w:val="Normal"/>
    <w:link w:val="Ttulo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pPr>
      <w:spacing w:before="200"/>
    </w:pPr>
    <w:rPr>
      <w:sz w:val="24"/>
      <w:szCs w:val="24"/>
    </w:rPr>
  </w:style>
  <w:style w:type="character" w:customStyle="1" w:styleId="SubttuloChar">
    <w:name w:val="Subtítulo Char"/>
    <w:link w:val="Subttulo"/>
    <w:uiPriority w:val="11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Pr>
      <w:i/>
    </w:rPr>
  </w:style>
  <w:style w:type="paragraph" w:styleId="Cabealho">
    <w:name w:val="header"/>
    <w:basedOn w:val="Normal"/>
    <w:link w:val="CabealhoChar"/>
    <w:pPr>
      <w:tabs>
        <w:tab w:val="center" w:pos="4252"/>
        <w:tab w:val="right" w:pos="8504"/>
      </w:tabs>
    </w:pPr>
  </w:style>
  <w:style w:type="character" w:customStyle="1" w:styleId="HeaderChar">
    <w:name w:val="Header Char"/>
    <w:uiPriority w:val="99"/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basedOn w:val="Normal"/>
    <w:pPr>
      <w:suppressLineNumbers/>
      <w:spacing w:before="120" w:after="120"/>
    </w:pPr>
    <w:rPr>
      <w:i/>
      <w:iCs/>
      <w:sz w:val="24"/>
      <w:szCs w:val="24"/>
    </w:rPr>
  </w:style>
  <w:style w:type="character" w:customStyle="1" w:styleId="CaptionChar">
    <w:name w:val="Caption Char"/>
    <w:uiPriority w:val="99"/>
  </w:style>
  <w:style w:type="table" w:styleId="Tabelacomgrade">
    <w:name w:val="Table Grid"/>
    <w:basedOn w:val="Tabelanormal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Simples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1Clara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5Escura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6Colorida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Grade7Colorida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1Clara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5Escura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6Colorida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adeLista7Colorida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extodenotaderodap">
    <w:name w:val="footnote text"/>
    <w:basedOn w:val="Normal"/>
    <w:link w:val="TextodenotaderodapChar1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link w:val="Textodenotaderodap"/>
    <w:uiPriority w:val="99"/>
    <w:rPr>
      <w:sz w:val="18"/>
    </w:rPr>
  </w:style>
  <w:style w:type="character" w:styleId="Refdenotaderodap">
    <w:name w:val="footnote reference"/>
    <w:semiHidden/>
    <w:rPr>
      <w:vertAlign w:val="superscript"/>
    </w:rPr>
  </w:style>
  <w:style w:type="paragraph" w:styleId="Textodenotadefim">
    <w:name w:val="endnote text"/>
    <w:basedOn w:val="Normal"/>
    <w:link w:val="TextodenotadefimChar"/>
    <w:semiHidden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Refdenotadefim">
    <w:name w:val="endnote reference"/>
    <w:semiHidden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pPr>
      <w:spacing w:after="57"/>
    </w:pPr>
  </w:style>
  <w:style w:type="paragraph" w:styleId="Sumrio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CabealhodoSumrio">
    <w:name w:val="TOC Heading"/>
    <w:uiPriority w:val="39"/>
    <w:unhideWhenUsed/>
    <w:rPr>
      <w:lang w:eastAsia="zh-CN"/>
    </w:rPr>
  </w:style>
  <w:style w:type="paragraph" w:styleId="ndicedeilustrae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/>
      <w:sz w:val="16"/>
      <w:szCs w:val="16"/>
    </w:rPr>
  </w:style>
  <w:style w:type="character" w:customStyle="1" w:styleId="TextodenotaderodapChar">
    <w:name w:val="Texto de nota de rodapé Char"/>
    <w:rPr>
      <w:sz w:val="20"/>
      <w:szCs w:val="20"/>
    </w:rPr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apple-converted-space">
    <w:name w:val="apple-converted-space"/>
    <w:basedOn w:val="Fontepargpadr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customStyle="1" w:styleId="ndice">
    <w:name w:val="Índice"/>
    <w:basedOn w:val="Normal"/>
    <w:pPr>
      <w:suppressLineNumbers/>
    </w:p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Default">
    <w:name w:val="Default"/>
    <w:rPr>
      <w:rFonts w:ascii="Calibri" w:eastAsia="Calibri" w:hAnsi="Calibri"/>
      <w:color w:val="000000"/>
      <w:sz w:val="24"/>
      <w:szCs w:val="24"/>
      <w:lang w:eastAsia="zh-CN"/>
    </w:rPr>
  </w:style>
  <w:style w:type="character" w:styleId="Hyperlink">
    <w:name w:val="Hyperlink"/>
    <w:rPr>
      <w:color w:val="0000FF"/>
      <w:u w:val="single"/>
    </w:rPr>
  </w:style>
  <w:style w:type="character" w:customStyle="1" w:styleId="Ttulo2Char">
    <w:name w:val="Título 2 Char"/>
    <w:link w:val="Ttulo2"/>
    <w:rPr>
      <w:b/>
      <w:bCs/>
      <w:sz w:val="36"/>
      <w:szCs w:val="36"/>
    </w:rPr>
  </w:style>
  <w:style w:type="character" w:customStyle="1" w:styleId="CabealhoChar">
    <w:name w:val="Cabeçalho Char"/>
    <w:link w:val="Cabealho"/>
    <w:rPr>
      <w:rFonts w:ascii="Calibri" w:eastAsia="Calibri" w:hAnsi="Calibri"/>
      <w:sz w:val="22"/>
      <w:szCs w:val="22"/>
      <w:lang w:eastAsia="zh-CN"/>
    </w:rPr>
  </w:style>
  <w:style w:type="character" w:customStyle="1" w:styleId="RodapChar">
    <w:name w:val="Rodapé Char"/>
    <w:link w:val="Rodap"/>
    <w:rPr>
      <w:rFonts w:ascii="Calibri" w:eastAsia="Calibri" w:hAnsi="Calibri"/>
      <w:sz w:val="22"/>
      <w:szCs w:val="22"/>
      <w:lang w:eastAsia="zh-CN"/>
    </w:rPr>
  </w:style>
  <w:style w:type="character" w:styleId="Refdecomentrio">
    <w:name w:val="annotation reference"/>
    <w:semiHidden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rPr>
      <w:sz w:val="20"/>
      <w:szCs w:val="20"/>
    </w:rPr>
  </w:style>
  <w:style w:type="character" w:customStyle="1" w:styleId="TextodecomentrioChar">
    <w:name w:val="Texto de comentário Char"/>
    <w:link w:val="Textodecomentrio"/>
    <w:semiHidden/>
    <w:rPr>
      <w:rFonts w:ascii="Calibri" w:eastAsia="Calibri" w:hAnsi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rPr>
      <w:b/>
      <w:bCs/>
    </w:rPr>
  </w:style>
  <w:style w:type="character" w:customStyle="1" w:styleId="AssuntodocomentrioChar">
    <w:name w:val="Assunto do comentário Char"/>
    <w:link w:val="Assuntodocomentrio"/>
    <w:semiHidden/>
    <w:rPr>
      <w:rFonts w:ascii="Calibri" w:eastAsia="Calibri" w:hAnsi="Calibri"/>
      <w:b/>
      <w:bCs/>
      <w:lang w:eastAsia="zh-CN"/>
    </w:rPr>
  </w:style>
  <w:style w:type="character" w:customStyle="1" w:styleId="TextodenotadefimChar">
    <w:name w:val="Texto de nota de fim Char"/>
    <w:link w:val="Textodenotadefim"/>
    <w:semiHidden/>
    <w:rPr>
      <w:rFonts w:ascii="Calibri" w:eastAsia="Calibri" w:hAnsi="Calibri"/>
      <w:lang w:eastAsia="zh-CN"/>
    </w:rPr>
  </w:style>
  <w:style w:type="character" w:styleId="Forte">
    <w:name w:val="Strong"/>
    <w:rPr>
      <w:b/>
      <w:bCs/>
    </w:rPr>
  </w:style>
  <w:style w:type="character" w:styleId="nfase">
    <w:name w:val="Emphasis"/>
    <w:uiPriority w:val="20"/>
    <w:qFormat/>
    <w:rsid w:val="00EF0E3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investidor.estadao.com.br/investimentos/guerra-russia-ucrania-8-meses-impactos-bols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investidor.estadao.com.br/comportamento/alta-juros-impacta-economia-mundia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pc.cariacica.e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3</Pages>
  <Words>891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Dell</cp:lastModifiedBy>
  <cp:revision>42</cp:revision>
  <dcterms:created xsi:type="dcterms:W3CDTF">2022-10-30T20:44:00Z</dcterms:created>
  <dcterms:modified xsi:type="dcterms:W3CDTF">2023-01-23T12:33:00Z</dcterms:modified>
</cp:coreProperties>
</file>