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4F8929" w14:textId="77777777" w:rsidR="00994D6B" w:rsidRPr="00024D4E" w:rsidRDefault="0045105D">
      <w:pPr>
        <w:spacing w:before="120" w:after="120" w:line="240" w:lineRule="auto"/>
        <w:jc w:val="center"/>
        <w:rPr>
          <w:rFonts w:ascii="Arial" w:hAnsi="Arial"/>
          <w:b/>
          <w:sz w:val="28"/>
          <w:szCs w:val="28"/>
        </w:rPr>
      </w:pPr>
      <w:r w:rsidRPr="00024D4E">
        <w:rPr>
          <w:rFonts w:ascii="Arial" w:hAnsi="Arial"/>
          <w:b/>
          <w:sz w:val="28"/>
          <w:szCs w:val="28"/>
        </w:rPr>
        <w:t>RELATÓRIO FINANCEIRO DE INVESTIMENTOS</w:t>
      </w:r>
    </w:p>
    <w:p w14:paraId="3C4DB1AD" w14:textId="1267C891" w:rsidR="00994D6B" w:rsidRPr="00024D4E" w:rsidRDefault="00510B24">
      <w:pPr>
        <w:spacing w:before="120" w:after="120" w:line="240" w:lineRule="auto"/>
        <w:contextualSpacing/>
        <w:jc w:val="center"/>
        <w:rPr>
          <w:rFonts w:ascii="Times New Roman" w:hAnsi="Times New Roman"/>
          <w:b/>
        </w:rPr>
      </w:pPr>
      <w:r w:rsidRPr="00024D4E">
        <w:rPr>
          <w:rFonts w:ascii="Arial" w:hAnsi="Arial"/>
          <w:b/>
          <w:sz w:val="28"/>
          <w:szCs w:val="28"/>
        </w:rPr>
        <w:t>NOVEMBR</w:t>
      </w:r>
      <w:r w:rsidR="005569C5" w:rsidRPr="00024D4E">
        <w:rPr>
          <w:rFonts w:ascii="Arial" w:hAnsi="Arial"/>
          <w:b/>
          <w:sz w:val="28"/>
          <w:szCs w:val="28"/>
        </w:rPr>
        <w:t>O</w:t>
      </w:r>
      <w:r w:rsidR="0045105D" w:rsidRPr="00024D4E">
        <w:rPr>
          <w:rFonts w:ascii="Arial" w:hAnsi="Arial"/>
          <w:b/>
          <w:sz w:val="28"/>
          <w:szCs w:val="28"/>
        </w:rPr>
        <w:t>/2022</w:t>
      </w:r>
    </w:p>
    <w:p w14:paraId="0BA61424" w14:textId="77777777" w:rsidR="00994D6B" w:rsidRPr="00024D4E" w:rsidRDefault="00994D6B">
      <w:pPr>
        <w:spacing w:before="120" w:after="120" w:line="240" w:lineRule="auto"/>
        <w:contextualSpacing/>
        <w:jc w:val="center"/>
        <w:rPr>
          <w:rFonts w:ascii="Times New Roman" w:hAnsi="Times New Roman"/>
          <w:b/>
        </w:rPr>
      </w:pPr>
    </w:p>
    <w:p w14:paraId="5188A6E8" w14:textId="797EDBE8" w:rsidR="000620FC" w:rsidRPr="00024D4E" w:rsidRDefault="0045105D">
      <w:pPr>
        <w:spacing w:before="119" w:after="119" w:line="360" w:lineRule="auto"/>
        <w:jc w:val="both"/>
        <w:rPr>
          <w:rFonts w:ascii="Arial" w:hAnsi="Arial"/>
          <w:sz w:val="24"/>
          <w:szCs w:val="24"/>
        </w:rPr>
      </w:pPr>
      <w:r w:rsidRPr="00024D4E">
        <w:rPr>
          <w:rFonts w:ascii="Arial" w:hAnsi="Arial"/>
          <w:sz w:val="24"/>
          <w:szCs w:val="24"/>
        </w:rPr>
        <w:t xml:space="preserve">O Fundo Previdenciário iniciou o mês de </w:t>
      </w:r>
      <w:r w:rsidR="000620FC" w:rsidRPr="00024D4E">
        <w:rPr>
          <w:rFonts w:ascii="Arial" w:hAnsi="Arial"/>
          <w:sz w:val="24"/>
          <w:szCs w:val="24"/>
        </w:rPr>
        <w:t>novembro</w:t>
      </w:r>
      <w:r w:rsidRPr="00024D4E">
        <w:rPr>
          <w:rFonts w:ascii="Arial" w:hAnsi="Arial"/>
          <w:sz w:val="24"/>
          <w:szCs w:val="24"/>
        </w:rPr>
        <w:t xml:space="preserve">/2022 com patrimônio de R$ </w:t>
      </w:r>
      <w:r w:rsidR="00510B24" w:rsidRPr="00024D4E">
        <w:rPr>
          <w:rFonts w:ascii="Arial" w:hAnsi="Arial"/>
          <w:sz w:val="24"/>
          <w:szCs w:val="24"/>
        </w:rPr>
        <w:t xml:space="preserve">390.999.369,64 </w:t>
      </w:r>
      <w:r w:rsidR="005569C5" w:rsidRPr="00024D4E">
        <w:rPr>
          <w:rFonts w:ascii="Arial" w:hAnsi="Arial"/>
          <w:sz w:val="24"/>
          <w:szCs w:val="24"/>
        </w:rPr>
        <w:t>(</w:t>
      </w:r>
      <w:r w:rsidR="00510B24" w:rsidRPr="00024D4E">
        <w:rPr>
          <w:rFonts w:ascii="Arial" w:hAnsi="Arial"/>
          <w:sz w:val="24"/>
          <w:szCs w:val="24"/>
        </w:rPr>
        <w:t>trezentos e noventa milhões, novecentos e noventa e nove mil, trezentos e sessenta e nove reais e sessenta e quatro centavos)</w:t>
      </w:r>
      <w:r w:rsidRPr="00024D4E">
        <w:rPr>
          <w:rFonts w:ascii="Arial" w:hAnsi="Arial"/>
          <w:sz w:val="24"/>
          <w:szCs w:val="24"/>
        </w:rPr>
        <w:t xml:space="preserve">. O retorno da carteira no mês foi </w:t>
      </w:r>
      <w:r w:rsidR="00510B24" w:rsidRPr="00024D4E">
        <w:rPr>
          <w:rFonts w:ascii="Arial" w:hAnsi="Arial"/>
          <w:sz w:val="24"/>
          <w:szCs w:val="24"/>
        </w:rPr>
        <w:t>0,1</w:t>
      </w:r>
      <w:r w:rsidR="000620FC" w:rsidRPr="00024D4E">
        <w:rPr>
          <w:rFonts w:ascii="Arial" w:hAnsi="Arial"/>
          <w:sz w:val="24"/>
          <w:szCs w:val="24"/>
        </w:rPr>
        <w:t>4</w:t>
      </w:r>
      <w:r w:rsidR="00510B24" w:rsidRPr="00024D4E">
        <w:rPr>
          <w:rFonts w:ascii="Arial" w:hAnsi="Arial"/>
          <w:sz w:val="24"/>
          <w:szCs w:val="24"/>
        </w:rPr>
        <w:t xml:space="preserve">%, </w:t>
      </w:r>
      <w:r w:rsidRPr="00024D4E">
        <w:rPr>
          <w:rFonts w:ascii="Arial" w:hAnsi="Arial"/>
          <w:sz w:val="24"/>
          <w:szCs w:val="24"/>
        </w:rPr>
        <w:t>correspondendo ao valor de</w:t>
      </w:r>
      <w:r w:rsidR="005569C5" w:rsidRPr="00024D4E">
        <w:rPr>
          <w:rFonts w:ascii="Arial" w:hAnsi="Arial"/>
          <w:sz w:val="24"/>
          <w:szCs w:val="24"/>
        </w:rPr>
        <w:t xml:space="preserve"> R$</w:t>
      </w:r>
      <w:r w:rsidR="00510B24" w:rsidRPr="00024D4E">
        <w:rPr>
          <w:rFonts w:ascii="Arial" w:hAnsi="Arial"/>
          <w:sz w:val="24"/>
          <w:szCs w:val="24"/>
        </w:rPr>
        <w:t xml:space="preserve"> </w:t>
      </w:r>
      <w:r w:rsidR="000620FC" w:rsidRPr="00024D4E">
        <w:rPr>
          <w:rFonts w:ascii="Arial" w:hAnsi="Arial"/>
          <w:sz w:val="24"/>
          <w:szCs w:val="24"/>
        </w:rPr>
        <w:t>564.976,71 (quinhentos e sessenta e quatro mil, novecentos e setenta e seis reais e setenta e um centavos).</w:t>
      </w:r>
    </w:p>
    <w:p w14:paraId="3726BF2A" w14:textId="62209F3B" w:rsidR="00D528C8" w:rsidRDefault="000620FC">
      <w:pPr>
        <w:spacing w:before="119" w:after="119" w:line="360" w:lineRule="auto"/>
        <w:jc w:val="both"/>
        <w:rPr>
          <w:rFonts w:ascii="Arial" w:hAnsi="Arial"/>
          <w:sz w:val="24"/>
          <w:szCs w:val="24"/>
        </w:rPr>
      </w:pPr>
      <w:r w:rsidRPr="00024D4E">
        <w:rPr>
          <w:rFonts w:ascii="Arial" w:hAnsi="Arial"/>
          <w:sz w:val="24"/>
          <w:szCs w:val="24"/>
        </w:rPr>
        <w:t xml:space="preserve">Foi aplicado em títulos públicos no mês de novembro o total de R$ 10.906.267,79 (dez milhões, novecentos e seis mil, duzentos e sessenta e sete reais e setenta e nove centavos). </w:t>
      </w:r>
      <w:r w:rsidR="00D82E6B">
        <w:rPr>
          <w:rFonts w:ascii="Arial" w:hAnsi="Arial"/>
          <w:sz w:val="24"/>
          <w:szCs w:val="24"/>
        </w:rPr>
        <w:t>Desse total</w:t>
      </w:r>
      <w:r w:rsidR="0030530E">
        <w:rPr>
          <w:rFonts w:ascii="Arial" w:hAnsi="Arial"/>
          <w:sz w:val="24"/>
          <w:szCs w:val="24"/>
        </w:rPr>
        <w:t xml:space="preserve">, </w:t>
      </w:r>
      <w:r w:rsidR="00D82E6B">
        <w:rPr>
          <w:rFonts w:ascii="Arial" w:hAnsi="Arial"/>
          <w:sz w:val="24"/>
          <w:szCs w:val="24"/>
        </w:rPr>
        <w:t xml:space="preserve">R$ 7.750.977,14 (sete milhões, setecentos e cinquenta mil, novecentos e setenta e sete </w:t>
      </w:r>
      <w:r w:rsidR="0030530E">
        <w:rPr>
          <w:rFonts w:ascii="Arial" w:hAnsi="Arial"/>
          <w:sz w:val="24"/>
          <w:szCs w:val="24"/>
        </w:rPr>
        <w:t xml:space="preserve">reais e quatorze centavos) é </w:t>
      </w:r>
      <w:r w:rsidR="008724C9">
        <w:rPr>
          <w:rFonts w:ascii="Arial" w:hAnsi="Arial"/>
          <w:sz w:val="24"/>
          <w:szCs w:val="24"/>
        </w:rPr>
        <w:t>proveniente d</w:t>
      </w:r>
      <w:r w:rsidR="00D528C8" w:rsidRPr="00024D4E">
        <w:rPr>
          <w:rFonts w:ascii="Arial" w:hAnsi="Arial"/>
          <w:sz w:val="24"/>
          <w:szCs w:val="24"/>
        </w:rPr>
        <w:t>e realocações</w:t>
      </w:r>
      <w:r w:rsidR="00334B7F" w:rsidRPr="00024D4E">
        <w:rPr>
          <w:rFonts w:ascii="Arial" w:hAnsi="Arial"/>
          <w:sz w:val="24"/>
          <w:szCs w:val="24"/>
        </w:rPr>
        <w:t xml:space="preserve"> de valores referente a </w:t>
      </w:r>
      <w:r w:rsidR="008724C9">
        <w:rPr>
          <w:rFonts w:ascii="Arial" w:hAnsi="Arial"/>
          <w:sz w:val="24"/>
          <w:szCs w:val="24"/>
        </w:rPr>
        <w:t xml:space="preserve">pagamento de </w:t>
      </w:r>
      <w:r w:rsidR="00D528C8" w:rsidRPr="00024D4E">
        <w:rPr>
          <w:rFonts w:ascii="Arial" w:hAnsi="Arial"/>
          <w:sz w:val="24"/>
          <w:szCs w:val="24"/>
        </w:rPr>
        <w:t xml:space="preserve">cupons dos títulos públicos de compra direta, </w:t>
      </w:r>
      <w:r w:rsidR="008724C9">
        <w:rPr>
          <w:rFonts w:ascii="Arial" w:hAnsi="Arial"/>
          <w:sz w:val="24"/>
          <w:szCs w:val="24"/>
        </w:rPr>
        <w:t xml:space="preserve">pagamento de </w:t>
      </w:r>
      <w:r w:rsidR="00D528C8" w:rsidRPr="00024D4E">
        <w:rPr>
          <w:rFonts w:ascii="Arial" w:hAnsi="Arial"/>
          <w:sz w:val="24"/>
          <w:szCs w:val="24"/>
        </w:rPr>
        <w:t>cupons d</w:t>
      </w:r>
      <w:r w:rsidR="008724C9">
        <w:rPr>
          <w:rFonts w:ascii="Arial" w:hAnsi="Arial"/>
          <w:sz w:val="24"/>
          <w:szCs w:val="24"/>
        </w:rPr>
        <w:t>o</w:t>
      </w:r>
      <w:r w:rsidR="00D528C8" w:rsidRPr="00024D4E">
        <w:rPr>
          <w:rFonts w:ascii="Arial" w:hAnsi="Arial"/>
          <w:sz w:val="24"/>
          <w:szCs w:val="24"/>
        </w:rPr>
        <w:t xml:space="preserve"> fundo </w:t>
      </w:r>
      <w:r w:rsidR="008724C9">
        <w:rPr>
          <w:rFonts w:ascii="Arial" w:hAnsi="Arial"/>
          <w:sz w:val="24"/>
          <w:szCs w:val="24"/>
        </w:rPr>
        <w:t xml:space="preserve">BB Títulos Públicos VII FI Renda Fixa Previdenciário, </w:t>
      </w:r>
      <w:r w:rsidR="0030530E">
        <w:rPr>
          <w:rFonts w:ascii="Arial" w:hAnsi="Arial"/>
          <w:sz w:val="24"/>
          <w:szCs w:val="24"/>
        </w:rPr>
        <w:t>valor principal do fundo BB Títulos Públicos IPCA I FI Renda Fixa Previdenciário e p</w:t>
      </w:r>
      <w:r w:rsidR="00D528C8" w:rsidRPr="00024D4E">
        <w:rPr>
          <w:rFonts w:ascii="Arial" w:hAnsi="Arial"/>
          <w:sz w:val="24"/>
          <w:szCs w:val="24"/>
        </w:rPr>
        <w:t>agamento de dividendos do fundo Caixa Rio Bravo Fundo de Fundo</w:t>
      </w:r>
      <w:r w:rsidR="008724C9">
        <w:rPr>
          <w:rFonts w:ascii="Arial" w:hAnsi="Arial"/>
          <w:sz w:val="24"/>
          <w:szCs w:val="24"/>
        </w:rPr>
        <w:t>s</w:t>
      </w:r>
      <w:r w:rsidR="0030530E">
        <w:rPr>
          <w:rFonts w:ascii="Arial" w:hAnsi="Arial"/>
          <w:sz w:val="24"/>
          <w:szCs w:val="24"/>
        </w:rPr>
        <w:t xml:space="preserve">; </w:t>
      </w:r>
      <w:r w:rsidR="00D528C8" w:rsidRPr="00024D4E">
        <w:rPr>
          <w:rFonts w:ascii="Arial" w:hAnsi="Arial"/>
          <w:sz w:val="24"/>
          <w:szCs w:val="24"/>
        </w:rPr>
        <w:t xml:space="preserve">e R$ 3.155.290,65 (três milhões, cento e cinquenta e cinco mil, duzentos e noventa reais e sessenta e cinco centavos) é proveniente </w:t>
      </w:r>
      <w:r w:rsidR="00334B7F" w:rsidRPr="00024D4E">
        <w:rPr>
          <w:rFonts w:ascii="Arial" w:hAnsi="Arial"/>
          <w:sz w:val="24"/>
          <w:szCs w:val="24"/>
        </w:rPr>
        <w:t xml:space="preserve">de </w:t>
      </w:r>
      <w:r w:rsidR="00D528C8" w:rsidRPr="00024D4E">
        <w:rPr>
          <w:rFonts w:ascii="Arial" w:hAnsi="Arial"/>
          <w:sz w:val="24"/>
          <w:szCs w:val="24"/>
        </w:rPr>
        <w:t xml:space="preserve">contribuições previdenciárias. </w:t>
      </w:r>
    </w:p>
    <w:p w14:paraId="35A92206" w14:textId="4B97CEBF" w:rsidR="00D528C8" w:rsidRPr="00024D4E" w:rsidRDefault="00D528C8">
      <w:pPr>
        <w:spacing w:before="119" w:after="119" w:line="360" w:lineRule="auto"/>
        <w:jc w:val="both"/>
        <w:rPr>
          <w:rFonts w:ascii="Arial" w:hAnsi="Arial"/>
          <w:sz w:val="24"/>
          <w:szCs w:val="24"/>
        </w:rPr>
      </w:pPr>
      <w:r w:rsidRPr="00024D4E">
        <w:rPr>
          <w:rFonts w:ascii="Arial" w:hAnsi="Arial"/>
          <w:sz w:val="24"/>
          <w:szCs w:val="24"/>
        </w:rPr>
        <w:t>A</w:t>
      </w:r>
      <w:r w:rsidR="00F909C2" w:rsidRPr="00024D4E">
        <w:rPr>
          <w:rFonts w:ascii="Arial" w:hAnsi="Arial"/>
          <w:sz w:val="24"/>
          <w:szCs w:val="24"/>
        </w:rPr>
        <w:t xml:space="preserve">ssim, o patrimônio líquido final do mês de </w:t>
      </w:r>
      <w:r w:rsidRPr="00024D4E">
        <w:rPr>
          <w:rFonts w:ascii="Arial" w:hAnsi="Arial"/>
          <w:sz w:val="24"/>
          <w:szCs w:val="24"/>
        </w:rPr>
        <w:t>novembro</w:t>
      </w:r>
      <w:r w:rsidR="00C03D07" w:rsidRPr="00024D4E">
        <w:rPr>
          <w:rFonts w:ascii="Arial" w:hAnsi="Arial"/>
          <w:sz w:val="24"/>
          <w:szCs w:val="24"/>
        </w:rPr>
        <w:t xml:space="preserve">/2022 </w:t>
      </w:r>
      <w:r w:rsidRPr="00024D4E">
        <w:rPr>
          <w:rFonts w:ascii="Arial" w:hAnsi="Arial"/>
          <w:sz w:val="24"/>
          <w:szCs w:val="24"/>
        </w:rPr>
        <w:t xml:space="preserve">somando rendimentos da carteira e </w:t>
      </w:r>
      <w:r w:rsidR="00F909C2" w:rsidRPr="00024D4E">
        <w:rPr>
          <w:rFonts w:ascii="Arial" w:hAnsi="Arial"/>
          <w:sz w:val="24"/>
          <w:szCs w:val="24"/>
        </w:rPr>
        <w:t xml:space="preserve">aplicação de novos valores totalizou o montante de R$ </w:t>
      </w:r>
      <w:r w:rsidRPr="00024D4E">
        <w:rPr>
          <w:rFonts w:ascii="Arial" w:hAnsi="Arial"/>
          <w:sz w:val="24"/>
          <w:szCs w:val="24"/>
        </w:rPr>
        <w:t>394.719.637,00 (trezentos e noventa e quatro milhões, setecentos e dezenove mil, seiscentos e trinta e sete reais).</w:t>
      </w:r>
    </w:p>
    <w:p w14:paraId="32E11ED5" w14:textId="77777777" w:rsidR="005A4BD5" w:rsidRPr="00024D4E" w:rsidRDefault="0045105D">
      <w:pPr>
        <w:spacing w:before="119" w:after="119" w:line="360" w:lineRule="auto"/>
        <w:jc w:val="both"/>
        <w:rPr>
          <w:rFonts w:ascii="Arial" w:hAnsi="Arial"/>
          <w:sz w:val="24"/>
          <w:szCs w:val="24"/>
        </w:rPr>
      </w:pPr>
      <w:r w:rsidRPr="00024D4E">
        <w:rPr>
          <w:rFonts w:ascii="Arial" w:hAnsi="Arial"/>
          <w:sz w:val="24"/>
          <w:szCs w:val="24"/>
        </w:rPr>
        <w:t>No quesito rentabilidade o fundo de renda fixa que se destac</w:t>
      </w:r>
      <w:r w:rsidR="005A4BD5" w:rsidRPr="00024D4E">
        <w:rPr>
          <w:rFonts w:ascii="Arial" w:hAnsi="Arial"/>
          <w:sz w:val="24"/>
          <w:szCs w:val="24"/>
        </w:rPr>
        <w:t xml:space="preserve">ou </w:t>
      </w:r>
      <w:r w:rsidRPr="00024D4E">
        <w:rPr>
          <w:rFonts w:ascii="Arial" w:hAnsi="Arial"/>
          <w:sz w:val="24"/>
          <w:szCs w:val="24"/>
        </w:rPr>
        <w:t xml:space="preserve">no mês de </w:t>
      </w:r>
      <w:r w:rsidR="005A4BD5" w:rsidRPr="00024D4E">
        <w:rPr>
          <w:rFonts w:ascii="Arial" w:hAnsi="Arial"/>
          <w:sz w:val="24"/>
          <w:szCs w:val="24"/>
        </w:rPr>
        <w:t>novembro</w:t>
      </w:r>
      <w:r w:rsidR="00D74262" w:rsidRPr="00024D4E">
        <w:rPr>
          <w:rFonts w:ascii="Arial" w:hAnsi="Arial"/>
          <w:sz w:val="24"/>
          <w:szCs w:val="24"/>
        </w:rPr>
        <w:t xml:space="preserve"> </w:t>
      </w:r>
      <w:r w:rsidRPr="00024D4E">
        <w:rPr>
          <w:rFonts w:ascii="Arial" w:hAnsi="Arial"/>
          <w:sz w:val="24"/>
          <w:szCs w:val="24"/>
        </w:rPr>
        <w:t>de 2022 fo</w:t>
      </w:r>
      <w:r w:rsidR="005A4BD5" w:rsidRPr="00024D4E">
        <w:rPr>
          <w:rFonts w:ascii="Arial" w:hAnsi="Arial"/>
          <w:sz w:val="24"/>
          <w:szCs w:val="24"/>
        </w:rPr>
        <w:t>i o fundo Banestes Liquidez FI Renda Fixa Referenciado DI, com rentabilidade de 1,03%.</w:t>
      </w:r>
    </w:p>
    <w:p w14:paraId="09BB534E" w14:textId="3F7B7BD7" w:rsidR="0049472E" w:rsidRPr="00024D4E" w:rsidRDefault="0045105D">
      <w:pPr>
        <w:spacing w:before="119" w:after="119" w:line="360" w:lineRule="auto"/>
        <w:jc w:val="both"/>
        <w:rPr>
          <w:rFonts w:ascii="Arial" w:hAnsi="Arial"/>
          <w:sz w:val="24"/>
          <w:szCs w:val="24"/>
        </w:rPr>
      </w:pPr>
      <w:r w:rsidRPr="00024D4E">
        <w:rPr>
          <w:rFonts w:ascii="Arial" w:hAnsi="Arial"/>
          <w:sz w:val="24"/>
          <w:szCs w:val="24"/>
        </w:rPr>
        <w:t>Já em renda variável o destaque f</w:t>
      </w:r>
      <w:r w:rsidR="005A4BD5" w:rsidRPr="00024D4E">
        <w:rPr>
          <w:rFonts w:ascii="Arial" w:hAnsi="Arial"/>
          <w:sz w:val="24"/>
          <w:szCs w:val="24"/>
        </w:rPr>
        <w:t xml:space="preserve">oi o fundo </w:t>
      </w:r>
      <w:proofErr w:type="spellStart"/>
      <w:r w:rsidR="0049472E" w:rsidRPr="00024D4E">
        <w:rPr>
          <w:rFonts w:ascii="Arial" w:hAnsi="Arial"/>
          <w:sz w:val="24"/>
          <w:szCs w:val="24"/>
        </w:rPr>
        <w:t>Schroder</w:t>
      </w:r>
      <w:proofErr w:type="spellEnd"/>
      <w:r w:rsidR="0049472E" w:rsidRPr="00024D4E">
        <w:rPr>
          <w:rFonts w:ascii="Arial" w:hAnsi="Arial"/>
          <w:sz w:val="24"/>
          <w:szCs w:val="24"/>
        </w:rPr>
        <w:t xml:space="preserve"> Sustentabilidade Ações Globais Investimentos do Exterior FIC Ações, com rentabilidade de 8,16%.</w:t>
      </w:r>
    </w:p>
    <w:p w14:paraId="64DD4BCE" w14:textId="39BDB351" w:rsidR="00994D6B" w:rsidRPr="00024D4E" w:rsidRDefault="0045105D">
      <w:pPr>
        <w:spacing w:before="119" w:after="119" w:line="360" w:lineRule="auto"/>
        <w:jc w:val="both"/>
        <w:rPr>
          <w:rFonts w:ascii="Arial" w:hAnsi="Arial"/>
          <w:sz w:val="24"/>
          <w:szCs w:val="24"/>
        </w:rPr>
      </w:pPr>
      <w:r w:rsidRPr="00024D4E">
        <w:rPr>
          <w:rFonts w:ascii="Arial" w:hAnsi="Arial"/>
          <w:sz w:val="24"/>
          <w:szCs w:val="24"/>
        </w:rPr>
        <w:t xml:space="preserve">A administração dos recursos da carteira de investimentos, no mês de </w:t>
      </w:r>
      <w:r w:rsidR="005640F8" w:rsidRPr="00024D4E">
        <w:rPr>
          <w:rFonts w:ascii="Arial" w:hAnsi="Arial"/>
          <w:sz w:val="24"/>
          <w:szCs w:val="24"/>
        </w:rPr>
        <w:t>novembro</w:t>
      </w:r>
      <w:r w:rsidRPr="00024D4E">
        <w:rPr>
          <w:rFonts w:ascii="Arial" w:hAnsi="Arial"/>
          <w:sz w:val="24"/>
          <w:szCs w:val="24"/>
        </w:rPr>
        <w:t xml:space="preserve">/2022, está distribuída entre Caixa Econômica Federal com </w:t>
      </w:r>
      <w:r w:rsidR="005640F8" w:rsidRPr="00024D4E">
        <w:rPr>
          <w:rFonts w:ascii="Arial" w:hAnsi="Arial"/>
          <w:sz w:val="24"/>
          <w:szCs w:val="24"/>
        </w:rPr>
        <w:t>29,75</w:t>
      </w:r>
      <w:r w:rsidRPr="00024D4E">
        <w:rPr>
          <w:rFonts w:ascii="Arial" w:hAnsi="Arial"/>
          <w:sz w:val="24"/>
          <w:szCs w:val="24"/>
        </w:rPr>
        <w:t xml:space="preserve">%, BB Gestão de Recursos </w:t>
      </w:r>
      <w:r w:rsidRPr="00024D4E">
        <w:rPr>
          <w:rFonts w:ascii="Arial" w:hAnsi="Arial"/>
          <w:sz w:val="24"/>
          <w:szCs w:val="24"/>
        </w:rPr>
        <w:lastRenderedPageBreak/>
        <w:t>com</w:t>
      </w:r>
      <w:r w:rsidR="005C2899" w:rsidRPr="00024D4E">
        <w:rPr>
          <w:rFonts w:ascii="Arial" w:hAnsi="Arial"/>
          <w:sz w:val="24"/>
          <w:szCs w:val="24"/>
        </w:rPr>
        <w:t xml:space="preserve"> </w:t>
      </w:r>
      <w:r w:rsidR="005640F8" w:rsidRPr="00024D4E">
        <w:rPr>
          <w:rFonts w:ascii="Arial" w:hAnsi="Arial"/>
          <w:sz w:val="24"/>
          <w:szCs w:val="24"/>
        </w:rPr>
        <w:t>21,65</w:t>
      </w:r>
      <w:r w:rsidRPr="00024D4E">
        <w:rPr>
          <w:rFonts w:ascii="Arial" w:hAnsi="Arial"/>
          <w:sz w:val="24"/>
          <w:szCs w:val="24"/>
        </w:rPr>
        <w:t xml:space="preserve">%, Banco do Estado do Espírito Santo com </w:t>
      </w:r>
      <w:r w:rsidR="005640F8" w:rsidRPr="00024D4E">
        <w:rPr>
          <w:rFonts w:ascii="Arial" w:hAnsi="Arial"/>
          <w:sz w:val="24"/>
          <w:szCs w:val="24"/>
        </w:rPr>
        <w:t>19,84</w:t>
      </w:r>
      <w:r w:rsidRPr="00024D4E">
        <w:rPr>
          <w:rFonts w:ascii="Arial" w:hAnsi="Arial"/>
          <w:sz w:val="24"/>
          <w:szCs w:val="24"/>
        </w:rPr>
        <w:t xml:space="preserve">%, BNP PARIBAS com </w:t>
      </w:r>
      <w:r w:rsidR="005640F8" w:rsidRPr="00024D4E">
        <w:rPr>
          <w:rFonts w:ascii="Arial" w:hAnsi="Arial"/>
          <w:sz w:val="24"/>
          <w:szCs w:val="24"/>
        </w:rPr>
        <w:t>0,73</w:t>
      </w:r>
      <w:r w:rsidRPr="00024D4E">
        <w:rPr>
          <w:rFonts w:ascii="Arial" w:hAnsi="Arial"/>
          <w:sz w:val="24"/>
          <w:szCs w:val="24"/>
        </w:rPr>
        <w:t xml:space="preserve">%, BEM DTVM com </w:t>
      </w:r>
      <w:r w:rsidR="005640F8" w:rsidRPr="00024D4E">
        <w:rPr>
          <w:rFonts w:ascii="Arial" w:hAnsi="Arial"/>
          <w:sz w:val="24"/>
          <w:szCs w:val="24"/>
        </w:rPr>
        <w:t>2,63</w:t>
      </w:r>
      <w:r w:rsidRPr="00024D4E">
        <w:rPr>
          <w:rFonts w:ascii="Arial" w:hAnsi="Arial"/>
          <w:sz w:val="24"/>
          <w:szCs w:val="24"/>
        </w:rPr>
        <w:t>%</w:t>
      </w:r>
      <w:r w:rsidR="00ED375E" w:rsidRPr="00024D4E">
        <w:rPr>
          <w:rFonts w:ascii="Arial" w:hAnsi="Arial"/>
          <w:sz w:val="24"/>
          <w:szCs w:val="24"/>
        </w:rPr>
        <w:t>, Banestes DTVM 0,04</w:t>
      </w:r>
      <w:r w:rsidR="00255710" w:rsidRPr="00024D4E">
        <w:rPr>
          <w:rFonts w:ascii="Arial" w:hAnsi="Arial"/>
          <w:sz w:val="24"/>
          <w:szCs w:val="24"/>
        </w:rPr>
        <w:t xml:space="preserve">% </w:t>
      </w:r>
      <w:r w:rsidRPr="00024D4E">
        <w:rPr>
          <w:rFonts w:ascii="Arial" w:hAnsi="Arial"/>
          <w:sz w:val="24"/>
          <w:szCs w:val="24"/>
        </w:rPr>
        <w:t xml:space="preserve">e Tesouro Nacional – Títulos Públicos com </w:t>
      </w:r>
      <w:r w:rsidR="005640F8" w:rsidRPr="00024D4E">
        <w:rPr>
          <w:rFonts w:ascii="Arial" w:hAnsi="Arial"/>
          <w:sz w:val="24"/>
          <w:szCs w:val="24"/>
        </w:rPr>
        <w:t>25,35</w:t>
      </w:r>
      <w:r w:rsidRPr="00024D4E">
        <w:rPr>
          <w:rFonts w:ascii="Arial" w:hAnsi="Arial"/>
          <w:sz w:val="24"/>
          <w:szCs w:val="24"/>
        </w:rPr>
        <w:t>%.</w:t>
      </w:r>
    </w:p>
    <w:p w14:paraId="18B1FC9F" w14:textId="00C2BF76" w:rsidR="00994D6B" w:rsidRPr="00024D4E" w:rsidRDefault="0045105D">
      <w:pPr>
        <w:spacing w:before="119" w:after="119" w:line="360" w:lineRule="auto"/>
        <w:jc w:val="both"/>
        <w:rPr>
          <w:rFonts w:ascii="Arial" w:hAnsi="Arial"/>
          <w:sz w:val="24"/>
          <w:szCs w:val="24"/>
        </w:rPr>
      </w:pPr>
      <w:r w:rsidRPr="00024D4E">
        <w:rPr>
          <w:rFonts w:ascii="Arial" w:hAnsi="Arial"/>
          <w:sz w:val="24"/>
          <w:szCs w:val="24"/>
        </w:rPr>
        <w:t xml:space="preserve">Quanto a estratégia de alocação dos recursos, o fundo previdenciário fechou o mês de </w:t>
      </w:r>
      <w:r w:rsidR="00AE57B3" w:rsidRPr="00024D4E">
        <w:rPr>
          <w:rFonts w:ascii="Arial" w:hAnsi="Arial"/>
          <w:sz w:val="24"/>
          <w:szCs w:val="24"/>
        </w:rPr>
        <w:t>novembro</w:t>
      </w:r>
      <w:r w:rsidRPr="00024D4E">
        <w:rPr>
          <w:rFonts w:ascii="Arial" w:hAnsi="Arial"/>
          <w:sz w:val="24"/>
          <w:szCs w:val="24"/>
        </w:rPr>
        <w:t xml:space="preserve">/2022 com </w:t>
      </w:r>
      <w:r w:rsidR="00AE57B3" w:rsidRPr="00024D4E">
        <w:rPr>
          <w:rFonts w:ascii="Arial" w:hAnsi="Arial"/>
          <w:sz w:val="24"/>
          <w:szCs w:val="24"/>
        </w:rPr>
        <w:t>7</w:t>
      </w:r>
      <w:r w:rsidR="00FF60E9">
        <w:rPr>
          <w:rFonts w:ascii="Arial" w:hAnsi="Arial"/>
          <w:sz w:val="24"/>
          <w:szCs w:val="24"/>
        </w:rPr>
        <w:t>8</w:t>
      </w:r>
      <w:r w:rsidR="00AE57B3" w:rsidRPr="00024D4E">
        <w:rPr>
          <w:rFonts w:ascii="Arial" w:hAnsi="Arial"/>
          <w:sz w:val="24"/>
          <w:szCs w:val="24"/>
        </w:rPr>
        <w:t>,</w:t>
      </w:r>
      <w:r w:rsidR="00FF60E9">
        <w:rPr>
          <w:rFonts w:ascii="Arial" w:hAnsi="Arial"/>
          <w:sz w:val="24"/>
          <w:szCs w:val="24"/>
        </w:rPr>
        <w:t>65</w:t>
      </w:r>
      <w:r w:rsidRPr="00024D4E">
        <w:rPr>
          <w:rFonts w:ascii="Arial" w:hAnsi="Arial"/>
          <w:sz w:val="24"/>
          <w:szCs w:val="24"/>
        </w:rPr>
        <w:t xml:space="preserve">% de seu patrimônio alocado em fundos de renda fixa e títulos do tesouro nacional; </w:t>
      </w:r>
      <w:r w:rsidR="00FF60E9">
        <w:rPr>
          <w:rFonts w:ascii="Arial" w:hAnsi="Arial"/>
          <w:sz w:val="24"/>
          <w:szCs w:val="24"/>
        </w:rPr>
        <w:t>15,45</w:t>
      </w:r>
      <w:r w:rsidRPr="00024D4E">
        <w:rPr>
          <w:rFonts w:ascii="Arial" w:hAnsi="Arial"/>
          <w:sz w:val="24"/>
          <w:szCs w:val="24"/>
        </w:rPr>
        <w:t xml:space="preserve">% alocados em fundos de renda variável e </w:t>
      </w:r>
      <w:r w:rsidR="00FF60E9">
        <w:rPr>
          <w:rFonts w:ascii="Arial" w:hAnsi="Arial"/>
          <w:sz w:val="24"/>
          <w:szCs w:val="24"/>
        </w:rPr>
        <w:t>5,89</w:t>
      </w:r>
      <w:bookmarkStart w:id="0" w:name="_GoBack"/>
      <w:bookmarkEnd w:id="0"/>
      <w:r w:rsidRPr="00024D4E">
        <w:rPr>
          <w:rFonts w:ascii="Arial" w:hAnsi="Arial"/>
          <w:sz w:val="24"/>
          <w:szCs w:val="24"/>
        </w:rPr>
        <w:t xml:space="preserve">% em fundos de renda variável no exterior distribuídos nas instituições financeiras administradoras de recursos cadastradas junto ao Instituto. </w:t>
      </w:r>
    </w:p>
    <w:p w14:paraId="7F3530FB" w14:textId="18270E5C" w:rsidR="00994D6B" w:rsidRPr="00024D4E" w:rsidRDefault="0045105D">
      <w:pPr>
        <w:spacing w:before="119" w:after="119" w:line="360" w:lineRule="auto"/>
        <w:jc w:val="both"/>
        <w:rPr>
          <w:szCs w:val="24"/>
        </w:rPr>
      </w:pPr>
      <w:r w:rsidRPr="00024D4E">
        <w:rPr>
          <w:rFonts w:ascii="Arial" w:hAnsi="Arial"/>
          <w:sz w:val="24"/>
          <w:szCs w:val="24"/>
        </w:rPr>
        <w:t xml:space="preserve">O Instituto de Previdência dos Servidores Públicos do Município de Cariacica tem como meta atuarial para o exercício de 2022 o indicador econômico IPCA, adicionado a mais 4,94% a.a., ou seja, IPCA + 4,94%, conforme definido na Avaliação Atuarial e meta de rentabilidade de 5,04% a.a. + IPCA, conforme apresentado pela consultoria Crédito e Mercado e demonstrado na Política de Investimentos. A meta atuarial mensal em </w:t>
      </w:r>
      <w:r w:rsidR="004950D1" w:rsidRPr="00024D4E">
        <w:rPr>
          <w:rFonts w:ascii="Arial" w:hAnsi="Arial"/>
          <w:sz w:val="24"/>
          <w:szCs w:val="24"/>
        </w:rPr>
        <w:t>novembro</w:t>
      </w:r>
      <w:r w:rsidRPr="00024D4E">
        <w:rPr>
          <w:rFonts w:ascii="Arial" w:hAnsi="Arial"/>
          <w:sz w:val="24"/>
          <w:szCs w:val="24"/>
        </w:rPr>
        <w:t xml:space="preserve">/2022 ficou em </w:t>
      </w:r>
      <w:r w:rsidR="00A25B3F" w:rsidRPr="00024D4E">
        <w:rPr>
          <w:rFonts w:ascii="Arial" w:hAnsi="Arial"/>
          <w:sz w:val="24"/>
          <w:szCs w:val="24"/>
        </w:rPr>
        <w:t>0,</w:t>
      </w:r>
      <w:r w:rsidR="004950D1" w:rsidRPr="00024D4E">
        <w:rPr>
          <w:rFonts w:ascii="Arial" w:hAnsi="Arial"/>
          <w:sz w:val="24"/>
          <w:szCs w:val="24"/>
        </w:rPr>
        <w:t>80</w:t>
      </w:r>
      <w:r w:rsidR="001A6AAB" w:rsidRPr="00024D4E">
        <w:rPr>
          <w:rFonts w:ascii="Arial" w:hAnsi="Arial"/>
          <w:sz w:val="24"/>
          <w:szCs w:val="24"/>
        </w:rPr>
        <w:t xml:space="preserve">% </w:t>
      </w:r>
      <w:r w:rsidRPr="00024D4E">
        <w:rPr>
          <w:rFonts w:ascii="Arial" w:hAnsi="Arial"/>
          <w:sz w:val="24"/>
          <w:szCs w:val="24"/>
        </w:rPr>
        <w:t xml:space="preserve">e a meta atuarial acumulada no ano fechou o mês de </w:t>
      </w:r>
      <w:r w:rsidR="004950D1" w:rsidRPr="00024D4E">
        <w:rPr>
          <w:rFonts w:ascii="Arial" w:hAnsi="Arial"/>
          <w:sz w:val="24"/>
          <w:szCs w:val="24"/>
        </w:rPr>
        <w:t xml:space="preserve">novembro </w:t>
      </w:r>
      <w:r w:rsidRPr="00024D4E">
        <w:rPr>
          <w:rFonts w:ascii="Arial" w:hAnsi="Arial"/>
          <w:sz w:val="24"/>
          <w:szCs w:val="24"/>
        </w:rPr>
        <w:t xml:space="preserve">em </w:t>
      </w:r>
      <w:r w:rsidR="004950D1" w:rsidRPr="00024D4E">
        <w:rPr>
          <w:rFonts w:ascii="Arial" w:hAnsi="Arial"/>
          <w:sz w:val="24"/>
          <w:szCs w:val="24"/>
        </w:rPr>
        <w:t>9,94</w:t>
      </w:r>
      <w:r w:rsidRPr="00024D4E">
        <w:rPr>
          <w:rFonts w:ascii="Arial" w:hAnsi="Arial"/>
          <w:sz w:val="24"/>
          <w:szCs w:val="24"/>
        </w:rPr>
        <w:t xml:space="preserve">%, enquanto o retorno mensal da carteira de investimentos alcançou </w:t>
      </w:r>
      <w:r w:rsidR="004950D1" w:rsidRPr="00024D4E">
        <w:rPr>
          <w:rFonts w:ascii="Arial" w:hAnsi="Arial"/>
          <w:sz w:val="24"/>
          <w:szCs w:val="24"/>
        </w:rPr>
        <w:t>0,</w:t>
      </w:r>
      <w:r w:rsidR="007B385F" w:rsidRPr="00024D4E">
        <w:rPr>
          <w:rFonts w:ascii="Arial" w:hAnsi="Arial"/>
          <w:sz w:val="24"/>
          <w:szCs w:val="24"/>
        </w:rPr>
        <w:t>14</w:t>
      </w:r>
      <w:r w:rsidRPr="00024D4E">
        <w:rPr>
          <w:rFonts w:ascii="Arial" w:hAnsi="Arial"/>
          <w:sz w:val="24"/>
          <w:szCs w:val="24"/>
        </w:rPr>
        <w:t xml:space="preserve">%, ficando o retorno acumulado no ano em </w:t>
      </w:r>
      <w:r w:rsidR="004950D1" w:rsidRPr="00024D4E">
        <w:rPr>
          <w:rFonts w:ascii="Arial" w:hAnsi="Arial"/>
          <w:sz w:val="24"/>
          <w:szCs w:val="24"/>
        </w:rPr>
        <w:t>4,0</w:t>
      </w:r>
      <w:r w:rsidR="007B385F" w:rsidRPr="00024D4E">
        <w:rPr>
          <w:rFonts w:ascii="Arial" w:hAnsi="Arial"/>
          <w:sz w:val="24"/>
          <w:szCs w:val="24"/>
        </w:rPr>
        <w:t>4</w:t>
      </w:r>
      <w:r w:rsidRPr="00024D4E">
        <w:rPr>
          <w:rFonts w:ascii="Arial" w:hAnsi="Arial"/>
          <w:sz w:val="24"/>
          <w:szCs w:val="24"/>
        </w:rPr>
        <w:t>%.</w:t>
      </w:r>
    </w:p>
    <w:p w14:paraId="49F4579A" w14:textId="0F2690F7" w:rsidR="00A16CF3" w:rsidRPr="00024D4E" w:rsidRDefault="0045105D" w:rsidP="00EF0E39">
      <w:pPr>
        <w:spacing w:before="119" w:after="119" w:line="360" w:lineRule="auto"/>
        <w:jc w:val="both"/>
        <w:rPr>
          <w:rFonts w:ascii="Arial" w:eastAsia="Arial" w:hAnsi="Arial" w:cs="Arial"/>
          <w:sz w:val="24"/>
          <w:szCs w:val="24"/>
        </w:rPr>
      </w:pPr>
      <w:r w:rsidRPr="00024D4E">
        <w:rPr>
          <w:rFonts w:ascii="Arial" w:eastAsia="Arial" w:hAnsi="Arial" w:cs="Arial"/>
          <w:sz w:val="24"/>
          <w:szCs w:val="24"/>
        </w:rPr>
        <w:t>No mercado financeiro o principal índice da Bolsa de Valo</w:t>
      </w:r>
      <w:r w:rsidR="001A6AAB" w:rsidRPr="00024D4E">
        <w:rPr>
          <w:rFonts w:ascii="Arial" w:eastAsia="Arial" w:hAnsi="Arial" w:cs="Arial"/>
          <w:sz w:val="24"/>
          <w:szCs w:val="24"/>
        </w:rPr>
        <w:t>res brasileira</w:t>
      </w:r>
      <w:r w:rsidR="00144D4F" w:rsidRPr="00024D4E">
        <w:rPr>
          <w:rFonts w:ascii="Arial" w:eastAsia="Arial" w:hAnsi="Arial" w:cs="Arial"/>
          <w:sz w:val="24"/>
          <w:szCs w:val="24"/>
        </w:rPr>
        <w:t xml:space="preserve">, </w:t>
      </w:r>
      <w:r w:rsidR="001F63B8" w:rsidRPr="00024D4E">
        <w:rPr>
          <w:rFonts w:ascii="Arial" w:eastAsia="Arial" w:hAnsi="Arial" w:cs="Arial"/>
          <w:sz w:val="24"/>
          <w:szCs w:val="24"/>
        </w:rPr>
        <w:t>Ibovespa,</w:t>
      </w:r>
      <w:r w:rsidR="001A6AAB" w:rsidRPr="00024D4E">
        <w:rPr>
          <w:rFonts w:ascii="Arial" w:eastAsia="Arial" w:hAnsi="Arial" w:cs="Arial"/>
          <w:sz w:val="24"/>
          <w:szCs w:val="24"/>
        </w:rPr>
        <w:t xml:space="preserve"> fechou o mês de </w:t>
      </w:r>
      <w:r w:rsidR="002B4CA0" w:rsidRPr="00024D4E">
        <w:rPr>
          <w:rFonts w:ascii="Arial" w:eastAsia="Arial" w:hAnsi="Arial" w:cs="Arial"/>
          <w:sz w:val="24"/>
          <w:szCs w:val="24"/>
        </w:rPr>
        <w:t>novembro</w:t>
      </w:r>
      <w:r w:rsidR="00144D4F" w:rsidRPr="00024D4E">
        <w:rPr>
          <w:rFonts w:ascii="Arial" w:eastAsia="Arial" w:hAnsi="Arial" w:cs="Arial"/>
          <w:sz w:val="24"/>
          <w:szCs w:val="24"/>
        </w:rPr>
        <w:t xml:space="preserve"> </w:t>
      </w:r>
      <w:r w:rsidR="002B4CA0" w:rsidRPr="00024D4E">
        <w:rPr>
          <w:rFonts w:ascii="Arial" w:eastAsia="Arial" w:hAnsi="Arial" w:cs="Arial"/>
          <w:sz w:val="24"/>
          <w:szCs w:val="24"/>
        </w:rPr>
        <w:t xml:space="preserve">em queda de 3,06%, aos 112.486 </w:t>
      </w:r>
      <w:r w:rsidRPr="00024D4E">
        <w:rPr>
          <w:rFonts w:ascii="Arial" w:eastAsia="Arial" w:hAnsi="Arial" w:cs="Arial"/>
          <w:sz w:val="24"/>
          <w:szCs w:val="24"/>
        </w:rPr>
        <w:t xml:space="preserve">pontos, </w:t>
      </w:r>
      <w:r w:rsidR="00881443" w:rsidRPr="00024D4E">
        <w:rPr>
          <w:rFonts w:ascii="Arial" w:eastAsia="Arial" w:hAnsi="Arial" w:cs="Arial"/>
          <w:sz w:val="24"/>
          <w:szCs w:val="24"/>
        </w:rPr>
        <w:t xml:space="preserve">acumulando alta de </w:t>
      </w:r>
      <w:r w:rsidR="002B4CA0" w:rsidRPr="00024D4E">
        <w:rPr>
          <w:rFonts w:ascii="Arial" w:eastAsia="Arial" w:hAnsi="Arial" w:cs="Arial"/>
          <w:sz w:val="24"/>
          <w:szCs w:val="24"/>
        </w:rPr>
        <w:t>7,31</w:t>
      </w:r>
      <w:r w:rsidR="00881443" w:rsidRPr="00024D4E">
        <w:rPr>
          <w:rFonts w:ascii="Arial" w:eastAsia="Arial" w:hAnsi="Arial" w:cs="Arial"/>
          <w:sz w:val="24"/>
          <w:szCs w:val="24"/>
        </w:rPr>
        <w:t>% no ano</w:t>
      </w:r>
      <w:r w:rsidR="002B4CA0" w:rsidRPr="00024D4E">
        <w:rPr>
          <w:rFonts w:ascii="Arial" w:eastAsia="Arial" w:hAnsi="Arial" w:cs="Arial"/>
          <w:sz w:val="24"/>
          <w:szCs w:val="24"/>
        </w:rPr>
        <w:t xml:space="preserve"> de 2022 e 10,36% em 12 meses.</w:t>
      </w:r>
      <w:r w:rsidR="00A16CF3" w:rsidRPr="00024D4E">
        <w:rPr>
          <w:rFonts w:ascii="Arial" w:eastAsia="Arial" w:hAnsi="Arial" w:cs="Arial"/>
          <w:sz w:val="24"/>
          <w:szCs w:val="24"/>
        </w:rPr>
        <w:t xml:space="preserve"> </w:t>
      </w:r>
      <w:r w:rsidR="00881443" w:rsidRPr="00024D4E">
        <w:rPr>
          <w:rFonts w:ascii="Arial" w:eastAsia="Arial" w:hAnsi="Arial" w:cs="Arial"/>
          <w:sz w:val="24"/>
          <w:szCs w:val="24"/>
        </w:rPr>
        <w:t xml:space="preserve">Já o dólar </w:t>
      </w:r>
      <w:r w:rsidR="00A16CF3" w:rsidRPr="00024D4E">
        <w:rPr>
          <w:rFonts w:ascii="Arial" w:eastAsia="Arial" w:hAnsi="Arial" w:cs="Arial"/>
          <w:sz w:val="24"/>
          <w:szCs w:val="24"/>
        </w:rPr>
        <w:t>fechou o mês com alta de 0,57%, tendo um acumulado de -5,20% no ano de 2022.</w:t>
      </w:r>
      <w:r w:rsidR="001D1DA1" w:rsidRPr="00024D4E">
        <w:rPr>
          <w:rFonts w:ascii="Arial" w:eastAsia="Arial" w:hAnsi="Arial" w:cs="Arial"/>
          <w:sz w:val="24"/>
          <w:szCs w:val="24"/>
        </w:rPr>
        <w:t xml:space="preserve"> A espera de indicações dos futuros ministros para o novo governo, assim como a expectativa de desidratação no texto da PEC de Transição contribuíram de forma negativa para o desempenho da bolsa no mês de novembro.</w:t>
      </w:r>
    </w:p>
    <w:p w14:paraId="1DE0842A" w14:textId="77777777" w:rsidR="00994D6B" w:rsidRPr="00024D4E" w:rsidRDefault="0045105D">
      <w:pPr>
        <w:spacing w:before="119" w:after="119" w:line="360" w:lineRule="auto"/>
        <w:jc w:val="both"/>
        <w:rPr>
          <w:rFonts w:ascii="Arial" w:hAnsi="Arial"/>
          <w:sz w:val="24"/>
          <w:szCs w:val="24"/>
        </w:rPr>
      </w:pPr>
      <w:r w:rsidRPr="00024D4E">
        <w:rPr>
          <w:rFonts w:ascii="Arial" w:hAnsi="Arial"/>
          <w:sz w:val="24"/>
          <w:szCs w:val="24"/>
        </w:rPr>
        <w:t>Todas as alocações e realocações de recursos realizadas pelo Comitê de Investimentos seguem a Política de Investimentos do IPC, previamente elaborada pelo Comitê e aprovada pelo Conselho Administrativo, e filosofia de investimentos do Comitê de Investimentos buscando sempre investimentos que agreguem rentabilidade com a melhor relação risco x retorno, diversificação e balanceamento da carteira de investimentos.</w:t>
      </w:r>
    </w:p>
    <w:p w14:paraId="493AF608" w14:textId="77777777" w:rsidR="00994D6B" w:rsidRPr="00024D4E" w:rsidRDefault="0045105D">
      <w:pPr>
        <w:spacing w:before="119" w:after="119" w:line="360" w:lineRule="auto"/>
        <w:jc w:val="both"/>
        <w:rPr>
          <w:rFonts w:ascii="Arial" w:hAnsi="Arial"/>
          <w:sz w:val="24"/>
          <w:szCs w:val="24"/>
        </w:rPr>
      </w:pPr>
      <w:r w:rsidRPr="00024D4E">
        <w:rPr>
          <w:rFonts w:ascii="Arial" w:hAnsi="Arial"/>
          <w:sz w:val="24"/>
          <w:szCs w:val="24"/>
        </w:rPr>
        <w:lastRenderedPageBreak/>
        <w:t>Ressalta-se que os dados dispostos nesse relatório são referentes ao fundo previdenciário enquanto os relatórios disponibilizados no Portal da Transparência do IPC são dados consolidados, ou seja, incluem fundo previdenciário e fundo financeiro, assim divulgados para atender a legislação vigente.</w:t>
      </w:r>
    </w:p>
    <w:p w14:paraId="75FD6247" w14:textId="77777777" w:rsidR="00994D6B" w:rsidRPr="00024D4E" w:rsidRDefault="0045105D">
      <w:pPr>
        <w:spacing w:before="119" w:after="119" w:line="360" w:lineRule="auto"/>
        <w:jc w:val="both"/>
        <w:rPr>
          <w:rFonts w:ascii="Arial" w:hAnsi="Arial"/>
          <w:b/>
          <w:sz w:val="23"/>
          <w:szCs w:val="23"/>
        </w:rPr>
      </w:pPr>
      <w:r w:rsidRPr="00024D4E">
        <w:rPr>
          <w:rFonts w:ascii="Arial" w:eastAsia="Times New Roman" w:hAnsi="Arial"/>
          <w:sz w:val="24"/>
          <w:szCs w:val="24"/>
          <w:lang w:eastAsia="pt-BR"/>
        </w:rPr>
        <w:t>Este é o relatório.</w:t>
      </w:r>
      <w:r w:rsidRPr="00024D4E">
        <w:rPr>
          <w:rFonts w:ascii="Arial" w:hAnsi="Arial"/>
          <w:b/>
          <w:sz w:val="24"/>
          <w:szCs w:val="24"/>
        </w:rPr>
        <w:t xml:space="preserve"> </w:t>
      </w:r>
    </w:p>
    <w:p w14:paraId="14B021AD" w14:textId="36080103" w:rsidR="00994D6B" w:rsidRPr="00024D4E" w:rsidRDefault="0045105D">
      <w:pPr>
        <w:spacing w:before="120" w:after="0" w:line="240" w:lineRule="auto"/>
        <w:jc w:val="right"/>
        <w:rPr>
          <w:rFonts w:ascii="Arial" w:eastAsia="Times New Roman" w:hAnsi="Arial"/>
          <w:sz w:val="24"/>
          <w:szCs w:val="24"/>
        </w:rPr>
      </w:pPr>
      <w:r w:rsidRPr="00024D4E">
        <w:rPr>
          <w:rFonts w:ascii="Arial" w:eastAsia="Times New Roman" w:hAnsi="Arial"/>
          <w:sz w:val="24"/>
          <w:szCs w:val="24"/>
          <w:lang w:eastAsia="pt-BR"/>
        </w:rPr>
        <w:t xml:space="preserve">Cariacica, </w:t>
      </w:r>
      <w:r w:rsidR="00B4581F" w:rsidRPr="00024D4E">
        <w:rPr>
          <w:rFonts w:ascii="Arial" w:eastAsia="Times New Roman" w:hAnsi="Arial"/>
          <w:sz w:val="24"/>
          <w:szCs w:val="24"/>
          <w:lang w:eastAsia="pt-BR"/>
        </w:rPr>
        <w:t>1</w:t>
      </w:r>
      <w:r w:rsidR="009C2F22" w:rsidRPr="00024D4E">
        <w:rPr>
          <w:rFonts w:ascii="Arial" w:eastAsia="Times New Roman" w:hAnsi="Arial"/>
          <w:sz w:val="24"/>
          <w:szCs w:val="24"/>
          <w:lang w:eastAsia="pt-BR"/>
        </w:rPr>
        <w:t>9</w:t>
      </w:r>
      <w:r w:rsidR="00B4581F" w:rsidRPr="00024D4E">
        <w:rPr>
          <w:rFonts w:ascii="Arial" w:eastAsia="Times New Roman" w:hAnsi="Arial"/>
          <w:sz w:val="24"/>
          <w:szCs w:val="24"/>
          <w:lang w:eastAsia="pt-BR"/>
        </w:rPr>
        <w:t xml:space="preserve"> </w:t>
      </w:r>
      <w:r w:rsidR="00EF0E39" w:rsidRPr="00024D4E">
        <w:rPr>
          <w:rFonts w:ascii="Arial" w:eastAsia="Times New Roman" w:hAnsi="Arial"/>
          <w:sz w:val="24"/>
          <w:szCs w:val="24"/>
          <w:lang w:eastAsia="pt-BR"/>
        </w:rPr>
        <w:t xml:space="preserve">de </w:t>
      </w:r>
      <w:r w:rsidR="009C2F22" w:rsidRPr="00024D4E">
        <w:rPr>
          <w:rFonts w:ascii="Arial" w:eastAsia="Times New Roman" w:hAnsi="Arial"/>
          <w:sz w:val="24"/>
          <w:szCs w:val="24"/>
          <w:lang w:eastAsia="pt-BR"/>
        </w:rPr>
        <w:t xml:space="preserve">dezembro </w:t>
      </w:r>
      <w:r w:rsidRPr="00024D4E">
        <w:rPr>
          <w:rFonts w:ascii="Arial" w:eastAsia="Times New Roman" w:hAnsi="Arial"/>
          <w:sz w:val="24"/>
          <w:szCs w:val="24"/>
          <w:lang w:eastAsia="pt-BR"/>
        </w:rPr>
        <w:t>de 2022.</w:t>
      </w:r>
    </w:p>
    <w:p w14:paraId="4408A245" w14:textId="77777777" w:rsidR="00994D6B" w:rsidRPr="00024D4E" w:rsidRDefault="00994D6B">
      <w:pPr>
        <w:spacing w:before="120"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14:paraId="1A46024B" w14:textId="77777777" w:rsidR="00994D6B" w:rsidRPr="00024D4E" w:rsidRDefault="00994D6B">
      <w:pPr>
        <w:spacing w:before="120"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14:paraId="0AD2A6D4" w14:textId="77777777" w:rsidR="00994D6B" w:rsidRPr="00024D4E" w:rsidRDefault="00994D6B">
      <w:pPr>
        <w:spacing w:before="120"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Spec="center" w:tblpY="77"/>
        <w:tblW w:w="5306" w:type="pct"/>
        <w:tblLook w:val="01E0" w:firstRow="1" w:lastRow="1" w:firstColumn="1" w:lastColumn="1" w:noHBand="0" w:noVBand="0"/>
      </w:tblPr>
      <w:tblGrid>
        <w:gridCol w:w="5387"/>
        <w:gridCol w:w="5070"/>
      </w:tblGrid>
      <w:tr w:rsidR="00994D6B" w:rsidRPr="00024D4E" w14:paraId="7E3DE551" w14:textId="77777777">
        <w:trPr>
          <w:trHeight w:val="182"/>
        </w:trPr>
        <w:tc>
          <w:tcPr>
            <w:tcW w:w="257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4E56D39A" w14:textId="77777777" w:rsidR="00994D6B" w:rsidRPr="00024D4E" w:rsidRDefault="0045105D">
            <w:pPr>
              <w:spacing w:after="0" w:line="240" w:lineRule="auto"/>
              <w:ind w:left="250"/>
              <w:jc w:val="center"/>
              <w:rPr>
                <w:rFonts w:ascii="Arial" w:hAnsi="Arial"/>
                <w:b/>
                <w:sz w:val="24"/>
                <w:szCs w:val="24"/>
              </w:rPr>
            </w:pPr>
            <w:r w:rsidRPr="00024D4E">
              <w:rPr>
                <w:rFonts w:ascii="Arial" w:hAnsi="Arial"/>
                <w:b/>
                <w:sz w:val="24"/>
                <w:szCs w:val="24"/>
              </w:rPr>
              <w:t>Paulo Henrique da Costa e Silva Matos</w:t>
            </w:r>
          </w:p>
          <w:p w14:paraId="7400AACF" w14:textId="77777777" w:rsidR="00994D6B" w:rsidRPr="00024D4E" w:rsidRDefault="0045105D">
            <w:pPr>
              <w:spacing w:after="0" w:line="240" w:lineRule="auto"/>
              <w:ind w:left="250"/>
              <w:jc w:val="center"/>
              <w:rPr>
                <w:rFonts w:ascii="Arial" w:hAnsi="Arial"/>
              </w:rPr>
            </w:pPr>
            <w:r w:rsidRPr="00024D4E">
              <w:rPr>
                <w:rFonts w:ascii="Arial" w:hAnsi="Arial"/>
              </w:rPr>
              <w:t>Gestor Certificado CPA 10</w:t>
            </w:r>
          </w:p>
          <w:p w14:paraId="58A5CEAB" w14:textId="77777777" w:rsidR="00994D6B" w:rsidRPr="00024D4E" w:rsidRDefault="00994D6B">
            <w:pPr>
              <w:spacing w:after="0" w:line="240" w:lineRule="auto"/>
              <w:ind w:left="250"/>
              <w:jc w:val="center"/>
              <w:rPr>
                <w:rFonts w:ascii="Arial" w:eastAsia="Times New Roman" w:hAnsi="Arial"/>
                <w:b/>
              </w:rPr>
            </w:pPr>
          </w:p>
        </w:tc>
        <w:tc>
          <w:tcPr>
            <w:tcW w:w="242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6BF65F8B" w14:textId="77777777" w:rsidR="00994D6B" w:rsidRPr="00024D4E" w:rsidRDefault="0045105D">
            <w:pPr>
              <w:spacing w:after="0" w:line="240" w:lineRule="auto"/>
              <w:jc w:val="center"/>
              <w:rPr>
                <w:rFonts w:ascii="Arial" w:hAnsi="Arial"/>
                <w:b/>
                <w:sz w:val="24"/>
                <w:szCs w:val="24"/>
              </w:rPr>
            </w:pPr>
            <w:r w:rsidRPr="00024D4E">
              <w:rPr>
                <w:rFonts w:ascii="Arial" w:eastAsia="Times New Roman" w:hAnsi="Arial"/>
                <w:b/>
                <w:sz w:val="24"/>
                <w:szCs w:val="24"/>
                <w:lang w:eastAsia="pt-BR"/>
              </w:rPr>
              <w:t>Jean Felipe Nunes Anunciação</w:t>
            </w:r>
          </w:p>
          <w:p w14:paraId="65BC4723" w14:textId="77777777" w:rsidR="00994D6B" w:rsidRPr="00024D4E" w:rsidRDefault="0045105D">
            <w:pPr>
              <w:spacing w:after="0" w:line="240" w:lineRule="auto"/>
              <w:jc w:val="center"/>
              <w:rPr>
                <w:rFonts w:ascii="Arial" w:hAnsi="Arial"/>
              </w:rPr>
            </w:pPr>
            <w:r w:rsidRPr="00024D4E">
              <w:rPr>
                <w:rFonts w:ascii="Arial" w:hAnsi="Arial"/>
              </w:rPr>
              <w:t>Gestor Certificado CPA 10</w:t>
            </w:r>
          </w:p>
          <w:p w14:paraId="0301FC6F" w14:textId="77777777" w:rsidR="00994D6B" w:rsidRPr="00024D4E" w:rsidRDefault="00994D6B">
            <w:pPr>
              <w:spacing w:after="0" w:line="240" w:lineRule="auto"/>
              <w:jc w:val="center"/>
              <w:rPr>
                <w:rFonts w:ascii="Arial" w:eastAsia="Times New Roman" w:hAnsi="Arial"/>
                <w:b/>
              </w:rPr>
            </w:pPr>
          </w:p>
        </w:tc>
      </w:tr>
    </w:tbl>
    <w:p w14:paraId="27936112" w14:textId="77777777" w:rsidR="00994D6B" w:rsidRPr="00024D4E" w:rsidRDefault="00994D6B">
      <w:pPr>
        <w:spacing w:before="120"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14:paraId="5BFFB7B2" w14:textId="77777777" w:rsidR="00994D6B" w:rsidRPr="00024D4E" w:rsidRDefault="00994D6B">
      <w:pPr>
        <w:spacing w:before="120"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Spec="center" w:tblpY="77"/>
        <w:tblW w:w="5306" w:type="pct"/>
        <w:tblLook w:val="01E0" w:firstRow="1" w:lastRow="1" w:firstColumn="1" w:lastColumn="1" w:noHBand="0" w:noVBand="0"/>
      </w:tblPr>
      <w:tblGrid>
        <w:gridCol w:w="5387"/>
        <w:gridCol w:w="5070"/>
      </w:tblGrid>
      <w:tr w:rsidR="00994D6B" w:rsidRPr="00024D4E" w14:paraId="324690F1" w14:textId="77777777">
        <w:trPr>
          <w:trHeight w:val="182"/>
        </w:trPr>
        <w:tc>
          <w:tcPr>
            <w:tcW w:w="257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7C36FE6D" w14:textId="77777777" w:rsidR="00994D6B" w:rsidRPr="00024D4E" w:rsidRDefault="0045105D">
            <w:pPr>
              <w:spacing w:after="0" w:line="240" w:lineRule="auto"/>
              <w:contextualSpacing/>
              <w:jc w:val="center"/>
              <w:rPr>
                <w:rFonts w:ascii="Arial" w:hAnsi="Arial"/>
                <w:b/>
                <w:sz w:val="23"/>
                <w:szCs w:val="23"/>
              </w:rPr>
            </w:pPr>
            <w:r w:rsidRPr="00024D4E">
              <w:rPr>
                <w:rFonts w:ascii="Arial" w:hAnsi="Arial"/>
                <w:b/>
                <w:sz w:val="24"/>
                <w:szCs w:val="24"/>
              </w:rPr>
              <w:t>Eliane Santana Tavares</w:t>
            </w:r>
          </w:p>
          <w:p w14:paraId="64CBA8D6" w14:textId="77777777" w:rsidR="00994D6B" w:rsidRPr="00024D4E" w:rsidRDefault="0045105D">
            <w:pPr>
              <w:spacing w:after="0" w:line="240" w:lineRule="auto"/>
              <w:jc w:val="center"/>
              <w:rPr>
                <w:rFonts w:ascii="Arial" w:hAnsi="Arial"/>
              </w:rPr>
            </w:pPr>
            <w:r w:rsidRPr="00024D4E">
              <w:rPr>
                <w:rFonts w:ascii="Arial" w:hAnsi="Arial"/>
              </w:rPr>
              <w:t>Gestor Certificado CPA 10</w:t>
            </w:r>
          </w:p>
        </w:tc>
        <w:tc>
          <w:tcPr>
            <w:tcW w:w="242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741902B7" w14:textId="77777777" w:rsidR="00994D6B" w:rsidRPr="00024D4E" w:rsidRDefault="0045105D">
            <w:pPr>
              <w:spacing w:after="0" w:line="240" w:lineRule="auto"/>
              <w:contextualSpacing/>
              <w:jc w:val="center"/>
              <w:rPr>
                <w:rFonts w:ascii="Arial" w:hAnsi="Arial"/>
                <w:b/>
                <w:sz w:val="23"/>
                <w:szCs w:val="23"/>
              </w:rPr>
            </w:pPr>
            <w:r w:rsidRPr="00024D4E">
              <w:rPr>
                <w:rFonts w:ascii="Arial" w:hAnsi="Arial"/>
                <w:b/>
                <w:sz w:val="24"/>
                <w:szCs w:val="24"/>
              </w:rPr>
              <w:t xml:space="preserve">Rodrigo Garcia </w:t>
            </w:r>
            <w:proofErr w:type="spellStart"/>
            <w:r w:rsidRPr="00024D4E">
              <w:rPr>
                <w:rFonts w:ascii="Arial" w:hAnsi="Arial"/>
                <w:b/>
                <w:sz w:val="24"/>
                <w:szCs w:val="24"/>
              </w:rPr>
              <w:t>Giori</w:t>
            </w:r>
            <w:proofErr w:type="spellEnd"/>
          </w:p>
          <w:p w14:paraId="7E8A12AC" w14:textId="77777777" w:rsidR="00994D6B" w:rsidRPr="00024D4E" w:rsidRDefault="0045105D">
            <w:pPr>
              <w:spacing w:after="0" w:line="240" w:lineRule="auto"/>
              <w:jc w:val="center"/>
              <w:rPr>
                <w:rFonts w:ascii="Arial" w:hAnsi="Arial"/>
              </w:rPr>
            </w:pPr>
            <w:r w:rsidRPr="00024D4E">
              <w:rPr>
                <w:rFonts w:ascii="Arial" w:hAnsi="Arial"/>
              </w:rPr>
              <w:t>Gestor Certificado CPA 20</w:t>
            </w:r>
          </w:p>
          <w:p w14:paraId="11FB5BC7" w14:textId="77777777" w:rsidR="00994D6B" w:rsidRPr="00024D4E" w:rsidRDefault="00994D6B">
            <w:pPr>
              <w:spacing w:after="0" w:line="240" w:lineRule="auto"/>
              <w:jc w:val="center"/>
              <w:rPr>
                <w:rFonts w:ascii="Arial" w:eastAsia="Times New Roman" w:hAnsi="Arial"/>
                <w:b/>
              </w:rPr>
            </w:pPr>
          </w:p>
          <w:p w14:paraId="72FCAE8B" w14:textId="77777777" w:rsidR="00994D6B" w:rsidRPr="00024D4E" w:rsidRDefault="00994D6B">
            <w:pPr>
              <w:spacing w:after="0" w:line="240" w:lineRule="auto"/>
              <w:jc w:val="center"/>
              <w:rPr>
                <w:rFonts w:ascii="Arial" w:eastAsia="Times New Roman" w:hAnsi="Arial"/>
                <w:b/>
              </w:rPr>
            </w:pPr>
          </w:p>
          <w:p w14:paraId="62C0EEC0" w14:textId="77777777" w:rsidR="00994D6B" w:rsidRPr="00024D4E" w:rsidRDefault="00994D6B">
            <w:pPr>
              <w:spacing w:after="0" w:line="240" w:lineRule="auto"/>
              <w:jc w:val="center"/>
              <w:rPr>
                <w:rFonts w:ascii="Arial" w:eastAsia="Times New Roman" w:hAnsi="Arial"/>
                <w:b/>
              </w:rPr>
            </w:pPr>
          </w:p>
          <w:p w14:paraId="1E941717" w14:textId="77777777" w:rsidR="00994D6B" w:rsidRPr="00024D4E" w:rsidRDefault="00994D6B">
            <w:pPr>
              <w:spacing w:after="0" w:line="240" w:lineRule="auto"/>
              <w:jc w:val="center"/>
              <w:rPr>
                <w:rFonts w:ascii="Arial" w:eastAsia="Times New Roman" w:hAnsi="Arial"/>
                <w:b/>
              </w:rPr>
            </w:pPr>
          </w:p>
        </w:tc>
      </w:tr>
    </w:tbl>
    <w:p w14:paraId="5833413F" w14:textId="77777777" w:rsidR="00994D6B" w:rsidRPr="00024D4E" w:rsidRDefault="0045105D">
      <w:pPr>
        <w:spacing w:after="0" w:line="240" w:lineRule="auto"/>
        <w:contextualSpacing/>
        <w:jc w:val="center"/>
        <w:rPr>
          <w:rFonts w:ascii="Arial" w:hAnsi="Arial"/>
          <w:sz w:val="23"/>
          <w:szCs w:val="23"/>
        </w:rPr>
      </w:pPr>
      <w:r w:rsidRPr="00024D4E">
        <w:rPr>
          <w:rFonts w:ascii="Arial" w:hAnsi="Arial"/>
          <w:b/>
          <w:sz w:val="24"/>
          <w:szCs w:val="24"/>
        </w:rPr>
        <w:t xml:space="preserve">Juliana de Lima Silva Rodrigues </w:t>
      </w:r>
    </w:p>
    <w:p w14:paraId="415AE39B" w14:textId="77777777" w:rsidR="00994D6B" w:rsidRPr="00024D4E" w:rsidRDefault="0045105D">
      <w:pPr>
        <w:spacing w:after="0" w:line="240" w:lineRule="auto"/>
        <w:contextualSpacing/>
        <w:jc w:val="center"/>
        <w:rPr>
          <w:rFonts w:ascii="Arial" w:eastAsia="Times New Roman" w:hAnsi="Arial"/>
        </w:rPr>
      </w:pPr>
      <w:r w:rsidRPr="00024D4E">
        <w:rPr>
          <w:rFonts w:ascii="Arial" w:eastAsia="Times New Roman" w:hAnsi="Arial"/>
          <w:lang w:eastAsia="pt-BR"/>
        </w:rPr>
        <w:t>Presidente do Comitê de Investimentos</w:t>
      </w:r>
    </w:p>
    <w:p w14:paraId="56DA835B" w14:textId="77777777" w:rsidR="00994D6B" w:rsidRPr="00510B24" w:rsidRDefault="0045105D">
      <w:pPr>
        <w:spacing w:after="0" w:line="240" w:lineRule="auto"/>
        <w:jc w:val="center"/>
        <w:rPr>
          <w:rFonts w:ascii="Arial" w:hAnsi="Arial"/>
        </w:rPr>
      </w:pPr>
      <w:r w:rsidRPr="00024D4E">
        <w:rPr>
          <w:rFonts w:ascii="Arial" w:hAnsi="Arial"/>
        </w:rPr>
        <w:t>Gestor Certificado CPA 20</w:t>
      </w:r>
    </w:p>
    <w:sectPr w:rsidR="00994D6B" w:rsidRPr="00510B24">
      <w:headerReference w:type="default" r:id="rId7"/>
      <w:footerReference w:type="default" r:id="rId8"/>
      <w:pgSz w:w="11906" w:h="16838"/>
      <w:pgMar w:top="567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5432927" w14:textId="77777777" w:rsidR="00C43CA2" w:rsidRDefault="00C43CA2">
      <w:pPr>
        <w:spacing w:after="0" w:line="240" w:lineRule="auto"/>
      </w:pPr>
      <w:r>
        <w:separator/>
      </w:r>
    </w:p>
  </w:endnote>
  <w:endnote w:type="continuationSeparator" w:id="0">
    <w:p w14:paraId="7A31E0C5" w14:textId="77777777" w:rsidR="00C43CA2" w:rsidRDefault="00C43C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charset w:val="0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A78821" w14:textId="77777777" w:rsidR="00994D6B" w:rsidRDefault="0045105D">
    <w:pPr>
      <w:pStyle w:val="Rodap"/>
      <w:spacing w:after="0" w:line="240" w:lineRule="auto"/>
      <w:jc w:val="center"/>
      <w:rPr>
        <w:rFonts w:ascii="Arial" w:hAnsi="Arial"/>
        <w:sz w:val="20"/>
        <w:szCs w:val="20"/>
      </w:rPr>
    </w:pPr>
    <w:r>
      <w:rPr>
        <w:rFonts w:ascii="Arial" w:hAnsi="Arial"/>
        <w:sz w:val="20"/>
        <w:szCs w:val="20"/>
      </w:rPr>
      <w:t>Rua Edgar Gonçalves, s/n, Campo Grande, Cariacica/ES</w:t>
    </w:r>
  </w:p>
  <w:p w14:paraId="461E3A0C" w14:textId="77777777" w:rsidR="00994D6B" w:rsidRDefault="0045105D">
    <w:pPr>
      <w:pStyle w:val="Rodap"/>
      <w:spacing w:after="0" w:line="240" w:lineRule="auto"/>
      <w:jc w:val="center"/>
      <w:rPr>
        <w:rFonts w:ascii="Arial" w:hAnsi="Arial"/>
        <w:sz w:val="20"/>
        <w:szCs w:val="20"/>
        <w:lang w:val="en-US"/>
      </w:rPr>
    </w:pPr>
    <w:r>
      <w:rPr>
        <w:rFonts w:ascii="Arial" w:hAnsi="Arial"/>
        <w:sz w:val="20"/>
        <w:szCs w:val="20"/>
        <w:lang w:val="en-US"/>
      </w:rPr>
      <w:t xml:space="preserve">CEP: 29.146-550 – Tel: (27)3396-7544 – </w:t>
    </w:r>
    <w:hyperlink r:id="rId1" w:history="1">
      <w:r>
        <w:rPr>
          <w:rStyle w:val="Hyperlink"/>
          <w:rFonts w:ascii="Arial" w:hAnsi="Arial"/>
          <w:sz w:val="20"/>
          <w:szCs w:val="20"/>
          <w:lang w:val="en-US"/>
        </w:rPr>
        <w:t>comunicaçãoipc@ipccariacica.es.gov.br</w:t>
      </w:r>
    </w:hyperlink>
  </w:p>
  <w:p w14:paraId="10A5B2F5" w14:textId="77777777" w:rsidR="00994D6B" w:rsidRDefault="00C43CA2">
    <w:pPr>
      <w:pStyle w:val="Rodap"/>
      <w:spacing w:after="0" w:line="240" w:lineRule="auto"/>
      <w:jc w:val="center"/>
      <w:rPr>
        <w:lang w:val="en-US"/>
      </w:rPr>
    </w:pPr>
    <w:hyperlink r:id="rId2" w:history="1">
      <w:r w:rsidR="0045105D">
        <w:rPr>
          <w:rStyle w:val="Hyperlink"/>
          <w:rFonts w:ascii="Arial" w:hAnsi="Arial"/>
          <w:sz w:val="20"/>
          <w:szCs w:val="20"/>
          <w:lang w:val="en-US"/>
        </w:rPr>
        <w:t>www.ipc.cariacica.es.gov.br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16E8F27" w14:textId="77777777" w:rsidR="00C43CA2" w:rsidRDefault="00C43CA2">
      <w:pPr>
        <w:spacing w:after="0" w:line="240" w:lineRule="auto"/>
      </w:pPr>
      <w:r>
        <w:separator/>
      </w:r>
    </w:p>
  </w:footnote>
  <w:footnote w:type="continuationSeparator" w:id="0">
    <w:p w14:paraId="7A8D8DE6" w14:textId="77777777" w:rsidR="00C43CA2" w:rsidRDefault="00C43C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49C4CA" w14:textId="77777777" w:rsidR="00994D6B" w:rsidRDefault="00C43CA2">
    <w:pPr>
      <w:spacing w:after="0" w:line="240" w:lineRule="auto"/>
      <w:contextualSpacing/>
      <w:jc w:val="center"/>
      <w:rPr>
        <w:rFonts w:ascii="Arial" w:hAnsi="Arial"/>
        <w:b/>
        <w:sz w:val="24"/>
        <w:szCs w:val="24"/>
      </w:rPr>
    </w:pPr>
    <w:r>
      <w:rPr>
        <w:noProof/>
        <w:lang w:eastAsia="pt-BR"/>
      </w:rPr>
      <w:pict w14:anchorId="707CBE6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m 1" o:spid="_x0000_i1025" type="#_x0000_t75" style="width:1in;height:50.25pt;visibility:visible;mso-wrap-style:square">
          <v:imagedata r:id="rId1" o:title=""/>
        </v:shape>
      </w:pict>
    </w:r>
  </w:p>
  <w:p w14:paraId="4A0F46C9" w14:textId="77777777" w:rsidR="00994D6B" w:rsidRDefault="0045105D">
    <w:pPr>
      <w:spacing w:after="0" w:line="240" w:lineRule="auto"/>
      <w:contextualSpacing/>
      <w:jc w:val="center"/>
      <w:rPr>
        <w:rFonts w:ascii="Arial" w:hAnsi="Arial"/>
        <w:b/>
        <w:sz w:val="26"/>
        <w:szCs w:val="26"/>
      </w:rPr>
    </w:pPr>
    <w:r>
      <w:rPr>
        <w:rFonts w:ascii="Arial" w:hAnsi="Arial"/>
        <w:b/>
        <w:sz w:val="26"/>
        <w:szCs w:val="26"/>
      </w:rPr>
      <w:t>Instituto de Previdência dos Servidores Públicos do Município de Cariacica</w:t>
    </w:r>
  </w:p>
  <w:p w14:paraId="471B58D9" w14:textId="77777777" w:rsidR="00994D6B" w:rsidRDefault="00994D6B">
    <w:pPr>
      <w:pStyle w:val="Cabealho"/>
      <w:spacing w:after="0" w:line="240" w:lineRule="auto"/>
      <w:jc w:val="center"/>
      <w:rPr>
        <w:rFonts w:ascii="Arial" w:hAnsi="Arial"/>
        <w:b/>
        <w:sz w:val="16"/>
        <w:szCs w:val="16"/>
      </w:rPr>
    </w:pPr>
  </w:p>
  <w:p w14:paraId="7F2C4FC6" w14:textId="77777777" w:rsidR="00994D6B" w:rsidRDefault="0045105D">
    <w:pPr>
      <w:pStyle w:val="Cabealho"/>
      <w:jc w:val="center"/>
    </w:pPr>
    <w:r>
      <w:rPr>
        <w:rFonts w:ascii="Arial" w:hAnsi="Arial"/>
        <w:b/>
        <w:sz w:val="28"/>
        <w:szCs w:val="28"/>
      </w:rPr>
      <w:t>COMITÊ DE INVESTIMENTOS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6A724C"/>
    <w:multiLevelType w:val="hybridMultilevel"/>
    <w:tmpl w:val="181C6A4E"/>
    <w:lvl w:ilvl="0" w:tplc="B1A224D4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 w:tplc="63004F7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3F27EC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B6C0D1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130083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8F4744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78E9F8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37A53F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C9FA133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>
    <w:nsid w:val="63C4345A"/>
    <w:multiLevelType w:val="hybridMultilevel"/>
    <w:tmpl w:val="55D0A7E2"/>
    <w:lvl w:ilvl="0" w:tplc="20967156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70BA15B2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CF6CE82E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CE705C8A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A65A3CB6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5AE80EEA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6BBA1D6A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C6BEE6EA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2F08A74A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94D6B"/>
    <w:rsid w:val="00024D4E"/>
    <w:rsid w:val="000620FC"/>
    <w:rsid w:val="00070354"/>
    <w:rsid w:val="000B7BA7"/>
    <w:rsid w:val="000F0038"/>
    <w:rsid w:val="00144D4F"/>
    <w:rsid w:val="001A6AAB"/>
    <w:rsid w:val="001D1DA1"/>
    <w:rsid w:val="001F63B8"/>
    <w:rsid w:val="002023F2"/>
    <w:rsid w:val="00255710"/>
    <w:rsid w:val="002861DD"/>
    <w:rsid w:val="002B4CA0"/>
    <w:rsid w:val="0030530E"/>
    <w:rsid w:val="00334B7F"/>
    <w:rsid w:val="0037719E"/>
    <w:rsid w:val="00397A92"/>
    <w:rsid w:val="003B08B4"/>
    <w:rsid w:val="003B1415"/>
    <w:rsid w:val="0045105D"/>
    <w:rsid w:val="0049472E"/>
    <w:rsid w:val="004950D1"/>
    <w:rsid w:val="00510B24"/>
    <w:rsid w:val="005140F6"/>
    <w:rsid w:val="005469F8"/>
    <w:rsid w:val="005569C5"/>
    <w:rsid w:val="005640F8"/>
    <w:rsid w:val="005A4BD5"/>
    <w:rsid w:val="005C2899"/>
    <w:rsid w:val="00635608"/>
    <w:rsid w:val="00654694"/>
    <w:rsid w:val="006B7FE9"/>
    <w:rsid w:val="007A07D3"/>
    <w:rsid w:val="007B385F"/>
    <w:rsid w:val="007F76E3"/>
    <w:rsid w:val="00816328"/>
    <w:rsid w:val="008362C3"/>
    <w:rsid w:val="00843EBF"/>
    <w:rsid w:val="008724C9"/>
    <w:rsid w:val="00881443"/>
    <w:rsid w:val="008C647B"/>
    <w:rsid w:val="008D423B"/>
    <w:rsid w:val="008F1108"/>
    <w:rsid w:val="009000FF"/>
    <w:rsid w:val="00994D6B"/>
    <w:rsid w:val="0099546C"/>
    <w:rsid w:val="009A6831"/>
    <w:rsid w:val="009C2F22"/>
    <w:rsid w:val="00A04EBD"/>
    <w:rsid w:val="00A16CF3"/>
    <w:rsid w:val="00A233F5"/>
    <w:rsid w:val="00A25B3F"/>
    <w:rsid w:val="00A54BBC"/>
    <w:rsid w:val="00AC2ECC"/>
    <w:rsid w:val="00AD7EB2"/>
    <w:rsid w:val="00AE57B3"/>
    <w:rsid w:val="00AF35A1"/>
    <w:rsid w:val="00B12C2D"/>
    <w:rsid w:val="00B4581F"/>
    <w:rsid w:val="00B85C50"/>
    <w:rsid w:val="00B86879"/>
    <w:rsid w:val="00B868D7"/>
    <w:rsid w:val="00BD7901"/>
    <w:rsid w:val="00C03D07"/>
    <w:rsid w:val="00C43CA2"/>
    <w:rsid w:val="00C5086B"/>
    <w:rsid w:val="00C97BB1"/>
    <w:rsid w:val="00CB1499"/>
    <w:rsid w:val="00D3631B"/>
    <w:rsid w:val="00D528C8"/>
    <w:rsid w:val="00D74262"/>
    <w:rsid w:val="00D80DED"/>
    <w:rsid w:val="00D82E6B"/>
    <w:rsid w:val="00DF0CA7"/>
    <w:rsid w:val="00ED375E"/>
    <w:rsid w:val="00EF0E39"/>
    <w:rsid w:val="00F00D31"/>
    <w:rsid w:val="00F878E1"/>
    <w:rsid w:val="00F909C2"/>
    <w:rsid w:val="00FC636A"/>
    <w:rsid w:val="00FD514F"/>
    <w:rsid w:val="00FF6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C0A4D8"/>
  <w15:docId w15:val="{DFA8D20F-42E0-4C9D-A422-EA84409DF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paragraph" w:styleId="Ttulo1">
    <w:name w:val="heading 1"/>
    <w:basedOn w:val="Normal"/>
    <w:next w:val="Normal"/>
    <w:link w:val="Ttulo1Char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Ttulo2">
    <w:name w:val="heading 2"/>
    <w:basedOn w:val="Normal"/>
    <w:link w:val="Ttulo2Char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pt-BR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Ttulo7">
    <w:name w:val="heading 7"/>
    <w:basedOn w:val="Normal"/>
    <w:next w:val="Normal"/>
    <w:link w:val="Ttulo7Char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Ttulo8">
    <w:name w:val="heading 8"/>
    <w:basedOn w:val="Normal"/>
    <w:next w:val="Normal"/>
    <w:link w:val="Ttulo8Char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Ttulo9">
    <w:name w:val="heading 9"/>
    <w:basedOn w:val="Normal"/>
    <w:next w:val="Normal"/>
    <w:link w:val="Ttulo9Char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Ttulo3Char">
    <w:name w:val="Título 3 Char"/>
    <w:link w:val="Ttulo3"/>
    <w:uiPriority w:val="9"/>
    <w:rPr>
      <w:rFonts w:ascii="Arial" w:eastAsia="Arial" w:hAnsi="Arial" w:cs="Arial"/>
      <w:sz w:val="30"/>
      <w:szCs w:val="30"/>
    </w:rPr>
  </w:style>
  <w:style w:type="character" w:customStyle="1" w:styleId="Ttulo4Char">
    <w:name w:val="Título 4 Char"/>
    <w:link w:val="Ttulo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Ttulo5Char">
    <w:name w:val="Título 5 Char"/>
    <w:link w:val="Ttulo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Ttulo6Char">
    <w:name w:val="Título 6 Char"/>
    <w:link w:val="Ttulo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Ttulo7Char">
    <w:name w:val="Título 7 Char"/>
    <w:link w:val="Ttulo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Ttulo8Char">
    <w:name w:val="Título 8 Char"/>
    <w:link w:val="Ttulo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Ttulo9Char">
    <w:name w:val="Título 9 Char"/>
    <w:link w:val="Ttulo9"/>
    <w:uiPriority w:val="9"/>
    <w:rPr>
      <w:rFonts w:ascii="Arial" w:eastAsia="Arial" w:hAnsi="Arial" w:cs="Arial"/>
      <w:i/>
      <w:iCs/>
      <w:sz w:val="21"/>
      <w:szCs w:val="21"/>
    </w:rPr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paragraph" w:styleId="SemEspaamento">
    <w:name w:val="No Spacing"/>
    <w:rPr>
      <w:rFonts w:ascii="Calibri" w:eastAsia="Calibri" w:hAnsi="Calibri"/>
      <w:sz w:val="22"/>
      <w:szCs w:val="22"/>
      <w:lang w:eastAsia="zh-CN"/>
    </w:rPr>
  </w:style>
  <w:style w:type="paragraph" w:styleId="Ttulo">
    <w:name w:val="Title"/>
    <w:basedOn w:val="Normal"/>
    <w:next w:val="Normal"/>
    <w:link w:val="TtuloChar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TtuloChar">
    <w:name w:val="Título Char"/>
    <w:link w:val="Ttulo"/>
    <w:uiPriority w:val="10"/>
    <w:rPr>
      <w:sz w:val="48"/>
      <w:szCs w:val="48"/>
    </w:rPr>
  </w:style>
  <w:style w:type="paragraph" w:styleId="Subttulo">
    <w:name w:val="Subtitle"/>
    <w:basedOn w:val="Normal"/>
    <w:next w:val="Normal"/>
    <w:link w:val="SubttuloChar"/>
    <w:uiPriority w:val="11"/>
    <w:qFormat/>
    <w:pPr>
      <w:spacing w:before="200"/>
    </w:pPr>
    <w:rPr>
      <w:sz w:val="24"/>
      <w:szCs w:val="24"/>
    </w:rPr>
  </w:style>
  <w:style w:type="character" w:customStyle="1" w:styleId="SubttuloChar">
    <w:name w:val="Subtítulo Char"/>
    <w:link w:val="Subttulo"/>
    <w:uiPriority w:val="11"/>
    <w:rPr>
      <w:sz w:val="24"/>
      <w:szCs w:val="24"/>
    </w:rPr>
  </w:style>
  <w:style w:type="paragraph" w:styleId="Citao">
    <w:name w:val="Quote"/>
    <w:basedOn w:val="Normal"/>
    <w:next w:val="Normal"/>
    <w:link w:val="CitaoChar"/>
    <w:uiPriority w:val="29"/>
    <w:qFormat/>
    <w:pPr>
      <w:ind w:left="720" w:right="720"/>
    </w:pPr>
    <w:rPr>
      <w:i/>
    </w:rPr>
  </w:style>
  <w:style w:type="character" w:customStyle="1" w:styleId="CitaoChar">
    <w:name w:val="Citação Char"/>
    <w:link w:val="Citao"/>
    <w:uiPriority w:val="29"/>
    <w:rPr>
      <w:i/>
    </w:rPr>
  </w:style>
  <w:style w:type="paragraph" w:styleId="CitaoIntensa">
    <w:name w:val="Intense Quote"/>
    <w:basedOn w:val="Normal"/>
    <w:next w:val="Normal"/>
    <w:link w:val="CitaoIntensaCh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CitaoIntensaChar">
    <w:name w:val="Citação Intensa Char"/>
    <w:link w:val="CitaoIntensa"/>
    <w:uiPriority w:val="30"/>
    <w:rPr>
      <w:i/>
    </w:rPr>
  </w:style>
  <w:style w:type="paragraph" w:styleId="Cabealho">
    <w:name w:val="header"/>
    <w:basedOn w:val="Normal"/>
    <w:link w:val="CabealhoChar"/>
    <w:pPr>
      <w:tabs>
        <w:tab w:val="center" w:pos="4252"/>
        <w:tab w:val="right" w:pos="8504"/>
      </w:tabs>
    </w:pPr>
  </w:style>
  <w:style w:type="character" w:customStyle="1" w:styleId="HeaderChar">
    <w:name w:val="Header Char"/>
    <w:uiPriority w:val="99"/>
  </w:style>
  <w:style w:type="paragraph" w:styleId="Rodap">
    <w:name w:val="footer"/>
    <w:basedOn w:val="Normal"/>
    <w:link w:val="RodapChar"/>
    <w:pPr>
      <w:tabs>
        <w:tab w:val="center" w:pos="4252"/>
        <w:tab w:val="right" w:pos="8504"/>
      </w:tabs>
    </w:pPr>
  </w:style>
  <w:style w:type="character" w:customStyle="1" w:styleId="FooterChar">
    <w:name w:val="Footer Char"/>
    <w:uiPriority w:val="99"/>
  </w:style>
  <w:style w:type="paragraph" w:styleId="Legenda">
    <w:name w:val="caption"/>
    <w:basedOn w:val="Normal"/>
    <w:pPr>
      <w:suppressLineNumbers/>
      <w:spacing w:before="120" w:after="120"/>
    </w:pPr>
    <w:rPr>
      <w:i/>
      <w:iCs/>
      <w:sz w:val="24"/>
      <w:szCs w:val="24"/>
    </w:rPr>
  </w:style>
  <w:style w:type="character" w:customStyle="1" w:styleId="CaptionChar">
    <w:name w:val="Caption Char"/>
    <w:uiPriority w:val="99"/>
  </w:style>
  <w:style w:type="table" w:styleId="Tabelacomgrade">
    <w:name w:val="Table Grid"/>
    <w:basedOn w:val="Tabelanormal"/>
    <w:rPr>
      <w:rFonts w:ascii="Calibri" w:eastAsia="Calibri" w:hAnsi="Calibri"/>
      <w:sz w:val="22"/>
      <w:szCs w:val="22"/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Simples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Simples2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Simples3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TabelaSimples4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TabelaSimples5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TabeladeGrade1Clara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deGrade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deGrade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deGrade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deGrade5Escura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TabeladeGrade6Colorida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deGrade7Colorida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deLista1Clara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TabeladeLista2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deLista3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deLista4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deLista5Escura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TabeladeLista6Colorida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deLista7Colorida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Textodenotaderodap">
    <w:name w:val="footnote text"/>
    <w:basedOn w:val="Normal"/>
    <w:link w:val="TextodenotaderodapChar1"/>
    <w:pPr>
      <w:spacing w:after="0" w:line="240" w:lineRule="auto"/>
    </w:pPr>
    <w:rPr>
      <w:sz w:val="20"/>
      <w:szCs w:val="20"/>
    </w:rPr>
  </w:style>
  <w:style w:type="character" w:customStyle="1" w:styleId="TextodenotaderodapChar1">
    <w:name w:val="Texto de nota de rodapé Char1"/>
    <w:link w:val="Textodenotaderodap"/>
    <w:uiPriority w:val="99"/>
    <w:rPr>
      <w:sz w:val="18"/>
    </w:rPr>
  </w:style>
  <w:style w:type="character" w:styleId="Refdenotaderodap">
    <w:name w:val="footnote reference"/>
    <w:semiHidden/>
    <w:rPr>
      <w:vertAlign w:val="superscript"/>
    </w:rPr>
  </w:style>
  <w:style w:type="paragraph" w:styleId="Textodenotadefim">
    <w:name w:val="endnote text"/>
    <w:basedOn w:val="Normal"/>
    <w:link w:val="TextodenotadefimChar"/>
    <w:semiHidden/>
    <w:rPr>
      <w:sz w:val="20"/>
      <w:szCs w:val="20"/>
    </w:rPr>
  </w:style>
  <w:style w:type="character" w:customStyle="1" w:styleId="EndnoteTextChar">
    <w:name w:val="Endnote Text Char"/>
    <w:uiPriority w:val="99"/>
    <w:rPr>
      <w:sz w:val="20"/>
    </w:rPr>
  </w:style>
  <w:style w:type="character" w:styleId="Refdenotadefim">
    <w:name w:val="endnote reference"/>
    <w:semiHidden/>
    <w:rPr>
      <w:vertAlign w:val="superscript"/>
    </w:rPr>
  </w:style>
  <w:style w:type="paragraph" w:styleId="Sumrio1">
    <w:name w:val="toc 1"/>
    <w:basedOn w:val="Normal"/>
    <w:next w:val="Normal"/>
    <w:uiPriority w:val="39"/>
    <w:unhideWhenUsed/>
    <w:pPr>
      <w:spacing w:after="57"/>
    </w:pPr>
  </w:style>
  <w:style w:type="paragraph" w:styleId="Sumrio2">
    <w:name w:val="toc 2"/>
    <w:basedOn w:val="Normal"/>
    <w:next w:val="Normal"/>
    <w:uiPriority w:val="39"/>
    <w:unhideWhenUsed/>
    <w:pPr>
      <w:spacing w:after="57"/>
      <w:ind w:left="283"/>
    </w:pPr>
  </w:style>
  <w:style w:type="paragraph" w:styleId="Sumrio3">
    <w:name w:val="toc 3"/>
    <w:basedOn w:val="Normal"/>
    <w:next w:val="Normal"/>
    <w:uiPriority w:val="39"/>
    <w:unhideWhenUsed/>
    <w:pPr>
      <w:spacing w:after="57"/>
      <w:ind w:left="567"/>
    </w:pPr>
  </w:style>
  <w:style w:type="paragraph" w:styleId="Sumrio4">
    <w:name w:val="toc 4"/>
    <w:basedOn w:val="Normal"/>
    <w:next w:val="Normal"/>
    <w:uiPriority w:val="39"/>
    <w:unhideWhenUsed/>
    <w:pPr>
      <w:spacing w:after="57"/>
      <w:ind w:left="850"/>
    </w:pPr>
  </w:style>
  <w:style w:type="paragraph" w:styleId="Sumrio5">
    <w:name w:val="toc 5"/>
    <w:basedOn w:val="Normal"/>
    <w:next w:val="Normal"/>
    <w:uiPriority w:val="39"/>
    <w:unhideWhenUsed/>
    <w:pPr>
      <w:spacing w:after="57"/>
      <w:ind w:left="1134"/>
    </w:pPr>
  </w:style>
  <w:style w:type="paragraph" w:styleId="Sumrio6">
    <w:name w:val="toc 6"/>
    <w:basedOn w:val="Normal"/>
    <w:next w:val="Normal"/>
    <w:uiPriority w:val="39"/>
    <w:unhideWhenUsed/>
    <w:pPr>
      <w:spacing w:after="57"/>
      <w:ind w:left="1417"/>
    </w:pPr>
  </w:style>
  <w:style w:type="paragraph" w:styleId="Sumrio7">
    <w:name w:val="toc 7"/>
    <w:basedOn w:val="Normal"/>
    <w:next w:val="Normal"/>
    <w:uiPriority w:val="39"/>
    <w:unhideWhenUsed/>
    <w:pPr>
      <w:spacing w:after="57"/>
      <w:ind w:left="1701"/>
    </w:pPr>
  </w:style>
  <w:style w:type="paragraph" w:styleId="Sumrio8">
    <w:name w:val="toc 8"/>
    <w:basedOn w:val="Normal"/>
    <w:next w:val="Normal"/>
    <w:uiPriority w:val="39"/>
    <w:unhideWhenUsed/>
    <w:pPr>
      <w:spacing w:after="57"/>
      <w:ind w:left="1984"/>
    </w:pPr>
  </w:style>
  <w:style w:type="paragraph" w:styleId="Sumrio9">
    <w:name w:val="toc 9"/>
    <w:basedOn w:val="Normal"/>
    <w:next w:val="Normal"/>
    <w:uiPriority w:val="39"/>
    <w:unhideWhenUsed/>
    <w:pPr>
      <w:spacing w:after="57"/>
      <w:ind w:left="2268"/>
    </w:pPr>
  </w:style>
  <w:style w:type="paragraph" w:styleId="CabealhodoSumrio">
    <w:name w:val="TOC Heading"/>
    <w:uiPriority w:val="39"/>
    <w:unhideWhenUsed/>
    <w:rPr>
      <w:lang w:eastAsia="zh-CN"/>
    </w:rPr>
  </w:style>
  <w:style w:type="paragraph" w:styleId="ndicedeilustraes">
    <w:name w:val="table of figures"/>
    <w:basedOn w:val="Normal"/>
    <w:next w:val="Normal"/>
    <w:uiPriority w:val="99"/>
    <w:unhideWhenUsed/>
    <w:pPr>
      <w:spacing w:after="0"/>
    </w:pPr>
  </w:style>
  <w:style w:type="character" w:customStyle="1" w:styleId="WW8Num1z0">
    <w:name w:val="WW8Num1z0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Fontepargpadro1">
    <w:name w:val="Fonte parág. padrão1"/>
  </w:style>
  <w:style w:type="character" w:customStyle="1" w:styleId="TextodebaloChar">
    <w:name w:val="Texto de balão Char"/>
    <w:rPr>
      <w:rFonts w:ascii="Tahoma" w:hAnsi="Tahoma"/>
      <w:sz w:val="16"/>
      <w:szCs w:val="16"/>
    </w:rPr>
  </w:style>
  <w:style w:type="character" w:customStyle="1" w:styleId="TextodenotaderodapChar">
    <w:name w:val="Texto de nota de rodapé Char"/>
    <w:rPr>
      <w:sz w:val="20"/>
      <w:szCs w:val="20"/>
    </w:rPr>
  </w:style>
  <w:style w:type="character" w:customStyle="1" w:styleId="Caracteresdenotaderodap">
    <w:name w:val="Caracteres de nota de rodapé"/>
    <w:rPr>
      <w:vertAlign w:val="superscript"/>
    </w:rPr>
  </w:style>
  <w:style w:type="character" w:customStyle="1" w:styleId="apple-converted-space">
    <w:name w:val="apple-converted-space"/>
    <w:basedOn w:val="Fontepargpadro1"/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styleId="Lista">
    <w:name w:val="List"/>
    <w:basedOn w:val="Corpodetexto"/>
  </w:style>
  <w:style w:type="paragraph" w:customStyle="1" w:styleId="ndice">
    <w:name w:val="Índice"/>
    <w:basedOn w:val="Normal"/>
    <w:pPr>
      <w:suppressLineNumbers/>
    </w:pPr>
  </w:style>
  <w:style w:type="paragraph" w:styleId="Textodebalo">
    <w:name w:val="Balloon Text"/>
    <w:basedOn w:val="Normal"/>
    <w:pPr>
      <w:spacing w:after="0" w:line="240" w:lineRule="auto"/>
    </w:pPr>
    <w:rPr>
      <w:rFonts w:ascii="Tahoma" w:hAnsi="Tahoma"/>
      <w:sz w:val="16"/>
      <w:szCs w:val="16"/>
    </w:rPr>
  </w:style>
  <w:style w:type="paragraph" w:customStyle="1" w:styleId="Default">
    <w:name w:val="Default"/>
    <w:rPr>
      <w:rFonts w:ascii="Calibri" w:eastAsia="Calibri" w:hAnsi="Calibri"/>
      <w:color w:val="000000"/>
      <w:sz w:val="24"/>
      <w:szCs w:val="24"/>
      <w:lang w:eastAsia="zh-CN"/>
    </w:rPr>
  </w:style>
  <w:style w:type="character" w:styleId="Hyperlink">
    <w:name w:val="Hyperlink"/>
    <w:rPr>
      <w:color w:val="0000FF"/>
      <w:u w:val="single"/>
    </w:rPr>
  </w:style>
  <w:style w:type="character" w:customStyle="1" w:styleId="Ttulo2Char">
    <w:name w:val="Título 2 Char"/>
    <w:link w:val="Ttulo2"/>
    <w:rPr>
      <w:b/>
      <w:bCs/>
      <w:sz w:val="36"/>
      <w:szCs w:val="36"/>
    </w:rPr>
  </w:style>
  <w:style w:type="character" w:customStyle="1" w:styleId="CabealhoChar">
    <w:name w:val="Cabeçalho Char"/>
    <w:link w:val="Cabealho"/>
    <w:rPr>
      <w:rFonts w:ascii="Calibri" w:eastAsia="Calibri" w:hAnsi="Calibri"/>
      <w:sz w:val="22"/>
      <w:szCs w:val="22"/>
      <w:lang w:eastAsia="zh-CN"/>
    </w:rPr>
  </w:style>
  <w:style w:type="character" w:customStyle="1" w:styleId="RodapChar">
    <w:name w:val="Rodapé Char"/>
    <w:link w:val="Rodap"/>
    <w:rPr>
      <w:rFonts w:ascii="Calibri" w:eastAsia="Calibri" w:hAnsi="Calibri"/>
      <w:sz w:val="22"/>
      <w:szCs w:val="22"/>
      <w:lang w:eastAsia="zh-CN"/>
    </w:rPr>
  </w:style>
  <w:style w:type="character" w:styleId="Refdecomentrio">
    <w:name w:val="annotation reference"/>
    <w:semiHidden/>
    <w:rPr>
      <w:sz w:val="16"/>
      <w:szCs w:val="16"/>
    </w:rPr>
  </w:style>
  <w:style w:type="paragraph" w:styleId="Textodecomentrio">
    <w:name w:val="annotation text"/>
    <w:basedOn w:val="Normal"/>
    <w:link w:val="TextodecomentrioChar"/>
    <w:semiHidden/>
    <w:rPr>
      <w:sz w:val="20"/>
      <w:szCs w:val="20"/>
    </w:rPr>
  </w:style>
  <w:style w:type="character" w:customStyle="1" w:styleId="TextodecomentrioChar">
    <w:name w:val="Texto de comentário Char"/>
    <w:link w:val="Textodecomentrio"/>
    <w:semiHidden/>
    <w:rPr>
      <w:rFonts w:ascii="Calibri" w:eastAsia="Calibri" w:hAnsi="Calibri"/>
      <w:lang w:eastAsia="zh-CN"/>
    </w:rPr>
  </w:style>
  <w:style w:type="paragraph" w:styleId="Assuntodocomentrio">
    <w:name w:val="annotation subject"/>
    <w:basedOn w:val="Textodecomentrio"/>
    <w:next w:val="Textodecomentrio"/>
    <w:link w:val="AssuntodocomentrioChar"/>
    <w:semiHidden/>
    <w:rPr>
      <w:b/>
      <w:bCs/>
    </w:rPr>
  </w:style>
  <w:style w:type="character" w:customStyle="1" w:styleId="AssuntodocomentrioChar">
    <w:name w:val="Assunto do comentário Char"/>
    <w:link w:val="Assuntodocomentrio"/>
    <w:semiHidden/>
    <w:rPr>
      <w:rFonts w:ascii="Calibri" w:eastAsia="Calibri" w:hAnsi="Calibri"/>
      <w:b/>
      <w:bCs/>
      <w:lang w:eastAsia="zh-CN"/>
    </w:rPr>
  </w:style>
  <w:style w:type="character" w:customStyle="1" w:styleId="TextodenotadefimChar">
    <w:name w:val="Texto de nota de fim Char"/>
    <w:link w:val="Textodenotadefim"/>
    <w:semiHidden/>
    <w:rPr>
      <w:rFonts w:ascii="Calibri" w:eastAsia="Calibri" w:hAnsi="Calibri"/>
      <w:lang w:eastAsia="zh-CN"/>
    </w:rPr>
  </w:style>
  <w:style w:type="character" w:styleId="Forte">
    <w:name w:val="Strong"/>
    <w:rPr>
      <w:b/>
      <w:bCs/>
    </w:rPr>
  </w:style>
  <w:style w:type="character" w:styleId="nfase">
    <w:name w:val="Emphasis"/>
    <w:uiPriority w:val="20"/>
    <w:qFormat/>
    <w:rsid w:val="00EF0E3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pc.cariacica.es.gov.br" TargetMode="External"/><Relationship Id="rId1" Type="http://schemas.openxmlformats.org/officeDocument/2006/relationships/hyperlink" Target="mailto:comunica&#231;&#227;oipc@ipccariacica.es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780</TotalTime>
  <Pages>3</Pages>
  <Words>752</Words>
  <Characters>4062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Dell</cp:lastModifiedBy>
  <cp:revision>57</cp:revision>
  <dcterms:created xsi:type="dcterms:W3CDTF">2022-10-30T20:44:00Z</dcterms:created>
  <dcterms:modified xsi:type="dcterms:W3CDTF">2023-01-20T18:49:00Z</dcterms:modified>
</cp:coreProperties>
</file>