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F8929" w14:textId="77777777" w:rsidR="00994D6B" w:rsidRPr="007C7DF9" w:rsidRDefault="0045105D">
      <w:pPr>
        <w:spacing w:before="120" w:after="120" w:line="240" w:lineRule="auto"/>
        <w:jc w:val="center"/>
        <w:rPr>
          <w:rFonts w:ascii="Arial" w:hAnsi="Arial"/>
          <w:b/>
          <w:sz w:val="28"/>
          <w:szCs w:val="28"/>
        </w:rPr>
      </w:pPr>
      <w:r w:rsidRPr="007C7DF9">
        <w:rPr>
          <w:rFonts w:ascii="Arial" w:hAnsi="Arial"/>
          <w:b/>
          <w:sz w:val="28"/>
          <w:szCs w:val="28"/>
        </w:rPr>
        <w:t>RELATÓRIO FINANCEIRO DE INVESTIMENTOS</w:t>
      </w:r>
    </w:p>
    <w:p w14:paraId="3C4DB1AD" w14:textId="28A51929" w:rsidR="00994D6B" w:rsidRPr="007C7DF9" w:rsidRDefault="007C7DF9">
      <w:pPr>
        <w:spacing w:before="120" w:after="120" w:line="240" w:lineRule="auto"/>
        <w:contextualSpacing/>
        <w:jc w:val="center"/>
        <w:rPr>
          <w:rFonts w:ascii="Times New Roman" w:hAnsi="Times New Roman"/>
          <w:b/>
        </w:rPr>
      </w:pPr>
      <w:r w:rsidRPr="007C7DF9">
        <w:rPr>
          <w:rFonts w:ascii="Arial" w:hAnsi="Arial"/>
          <w:b/>
          <w:sz w:val="28"/>
          <w:szCs w:val="28"/>
        </w:rPr>
        <w:t>MARÇO</w:t>
      </w:r>
      <w:r w:rsidR="00ED105F" w:rsidRPr="007C7DF9">
        <w:rPr>
          <w:rFonts w:ascii="Arial" w:hAnsi="Arial"/>
          <w:b/>
          <w:sz w:val="28"/>
          <w:szCs w:val="28"/>
        </w:rPr>
        <w:t>/2023</w:t>
      </w:r>
    </w:p>
    <w:p w14:paraId="0BA61424" w14:textId="77777777" w:rsidR="00994D6B" w:rsidRPr="007C7DF9" w:rsidRDefault="00994D6B">
      <w:pPr>
        <w:spacing w:before="120" w:after="120" w:line="240" w:lineRule="auto"/>
        <w:contextualSpacing/>
        <w:jc w:val="center"/>
        <w:rPr>
          <w:rFonts w:ascii="Times New Roman" w:hAnsi="Times New Roman"/>
          <w:b/>
        </w:rPr>
      </w:pPr>
    </w:p>
    <w:p w14:paraId="4DEF4B96" w14:textId="1F9A7C85" w:rsidR="007C7DF9" w:rsidRPr="00A62691" w:rsidRDefault="0045105D" w:rsidP="00754DB2">
      <w:pPr>
        <w:spacing w:before="120" w:after="120" w:line="360" w:lineRule="auto"/>
        <w:jc w:val="both"/>
        <w:rPr>
          <w:rFonts w:ascii="Arial" w:hAnsi="Arial"/>
          <w:sz w:val="24"/>
          <w:szCs w:val="24"/>
        </w:rPr>
      </w:pPr>
      <w:r w:rsidRPr="00A62691">
        <w:rPr>
          <w:rFonts w:ascii="Arial" w:hAnsi="Arial"/>
          <w:sz w:val="24"/>
          <w:szCs w:val="24"/>
        </w:rPr>
        <w:t xml:space="preserve">O Fundo Previdenciário iniciou o mês de </w:t>
      </w:r>
      <w:r w:rsidR="007C7DF9" w:rsidRPr="00A62691">
        <w:rPr>
          <w:rFonts w:ascii="Arial" w:hAnsi="Arial"/>
          <w:sz w:val="24"/>
          <w:szCs w:val="24"/>
        </w:rPr>
        <w:t>março</w:t>
      </w:r>
      <w:r w:rsidR="00ED105F" w:rsidRPr="00A62691">
        <w:rPr>
          <w:rFonts w:ascii="Arial" w:hAnsi="Arial"/>
          <w:sz w:val="24"/>
          <w:szCs w:val="24"/>
        </w:rPr>
        <w:t xml:space="preserve">/2023 </w:t>
      </w:r>
      <w:r w:rsidRPr="00A62691">
        <w:rPr>
          <w:rFonts w:ascii="Arial" w:hAnsi="Arial"/>
          <w:sz w:val="24"/>
          <w:szCs w:val="24"/>
        </w:rPr>
        <w:t>com patrimônio de R$</w:t>
      </w:r>
      <w:r w:rsidR="007C7DF9" w:rsidRPr="00A62691">
        <w:rPr>
          <w:rFonts w:ascii="Arial" w:hAnsi="Arial"/>
          <w:sz w:val="24"/>
          <w:szCs w:val="24"/>
        </w:rPr>
        <w:t xml:space="preserve"> 414.718.517,68 (quatrocentos e quatorze milhões, setecentos e dezoito mil, quinhentos e dezessete reais e sessenta e oito centavos). </w:t>
      </w:r>
      <w:r w:rsidRPr="00A62691">
        <w:rPr>
          <w:rFonts w:ascii="Arial" w:hAnsi="Arial"/>
          <w:sz w:val="24"/>
          <w:szCs w:val="24"/>
        </w:rPr>
        <w:t>O retorno da carteira no mês foi</w:t>
      </w:r>
      <w:r w:rsidR="005A0444" w:rsidRPr="00A62691">
        <w:rPr>
          <w:rFonts w:ascii="Arial" w:hAnsi="Arial"/>
          <w:sz w:val="24"/>
          <w:szCs w:val="24"/>
        </w:rPr>
        <w:t xml:space="preserve"> </w:t>
      </w:r>
      <w:r w:rsidR="007C7DF9" w:rsidRPr="00A62691">
        <w:rPr>
          <w:rFonts w:ascii="Arial" w:hAnsi="Arial"/>
          <w:sz w:val="24"/>
          <w:szCs w:val="24"/>
        </w:rPr>
        <w:t>de 1,04</w:t>
      </w:r>
      <w:r w:rsidR="00613409" w:rsidRPr="00A62691">
        <w:rPr>
          <w:rFonts w:ascii="Arial" w:hAnsi="Arial"/>
          <w:sz w:val="24"/>
          <w:szCs w:val="24"/>
        </w:rPr>
        <w:t>%</w:t>
      </w:r>
      <w:r w:rsidR="00510B24" w:rsidRPr="00A62691">
        <w:rPr>
          <w:rFonts w:ascii="Arial" w:hAnsi="Arial"/>
          <w:sz w:val="24"/>
          <w:szCs w:val="24"/>
        </w:rPr>
        <w:t xml:space="preserve">, </w:t>
      </w:r>
      <w:r w:rsidRPr="00A62691">
        <w:rPr>
          <w:rFonts w:ascii="Arial" w:hAnsi="Arial"/>
          <w:sz w:val="24"/>
          <w:szCs w:val="24"/>
        </w:rPr>
        <w:t>correspondendo ao valor</w:t>
      </w:r>
      <w:r w:rsidR="00B743FA" w:rsidRPr="00A62691">
        <w:rPr>
          <w:rFonts w:ascii="Arial" w:hAnsi="Arial"/>
          <w:sz w:val="24"/>
          <w:szCs w:val="24"/>
        </w:rPr>
        <w:t xml:space="preserve"> </w:t>
      </w:r>
      <w:r w:rsidRPr="00A62691">
        <w:rPr>
          <w:rFonts w:ascii="Arial" w:hAnsi="Arial"/>
          <w:sz w:val="24"/>
          <w:szCs w:val="24"/>
        </w:rPr>
        <w:t>de</w:t>
      </w:r>
      <w:r w:rsidR="005569C5" w:rsidRPr="00A62691">
        <w:rPr>
          <w:rFonts w:ascii="Arial" w:hAnsi="Arial"/>
          <w:sz w:val="24"/>
          <w:szCs w:val="24"/>
        </w:rPr>
        <w:t xml:space="preserve"> R$</w:t>
      </w:r>
      <w:r w:rsidR="005A0444" w:rsidRPr="00A62691">
        <w:rPr>
          <w:rFonts w:ascii="Arial" w:hAnsi="Arial"/>
          <w:sz w:val="24"/>
          <w:szCs w:val="24"/>
        </w:rPr>
        <w:t xml:space="preserve"> </w:t>
      </w:r>
      <w:r w:rsidR="007C7DF9" w:rsidRPr="00A62691">
        <w:rPr>
          <w:rFonts w:ascii="Arial" w:hAnsi="Arial"/>
          <w:sz w:val="24"/>
          <w:szCs w:val="24"/>
        </w:rPr>
        <w:t>4.317.628,36 (quatro milhões, trezentos e dezessete mil, seiscentos e vinte e oito reais e trinta e seis centavos).</w:t>
      </w:r>
    </w:p>
    <w:p w14:paraId="7785E4CB" w14:textId="0B6FFFC9" w:rsidR="00507A0F" w:rsidRPr="00A62691" w:rsidRDefault="00C362A2" w:rsidP="00323728">
      <w:pPr>
        <w:spacing w:before="120" w:after="120" w:line="360" w:lineRule="auto"/>
        <w:jc w:val="both"/>
        <w:rPr>
          <w:rFonts w:ascii="Arial" w:hAnsi="Arial"/>
          <w:sz w:val="24"/>
          <w:szCs w:val="24"/>
        </w:rPr>
      </w:pPr>
      <w:r w:rsidRPr="00A62691">
        <w:rPr>
          <w:rFonts w:ascii="Arial" w:hAnsi="Arial"/>
          <w:sz w:val="24"/>
          <w:szCs w:val="24"/>
        </w:rPr>
        <w:t xml:space="preserve">No Fundo Previdenciário as aplicações efetuadas </w:t>
      </w:r>
      <w:r w:rsidR="00507A0F" w:rsidRPr="00A62691">
        <w:rPr>
          <w:rFonts w:ascii="Arial" w:hAnsi="Arial"/>
          <w:sz w:val="24"/>
          <w:szCs w:val="24"/>
        </w:rPr>
        <w:t xml:space="preserve">totalizaram R$ 3.753.401,67 (três milhões, setecentos e cinquenta e três mil, quatrocentos e um reais e sessenta e sete centavos) e os resgates totalizaram R$ 4.888.835,72 (quatro milhões, oitocentos e oitenta e oito mil, oitocentos e trinta e cinco reais e setenta e dois centavos). Portanto, considerando o saldo das aplicações e dos resgates somado ao rendimento positivo da carteira no mês de março, </w:t>
      </w:r>
      <w:r w:rsidRPr="00A62691">
        <w:rPr>
          <w:rFonts w:ascii="Arial" w:hAnsi="Arial"/>
          <w:sz w:val="24"/>
          <w:szCs w:val="24"/>
        </w:rPr>
        <w:t xml:space="preserve">temos que </w:t>
      </w:r>
      <w:r w:rsidR="00507A0F" w:rsidRPr="00A62691">
        <w:rPr>
          <w:rFonts w:ascii="Arial" w:hAnsi="Arial"/>
          <w:sz w:val="24"/>
          <w:szCs w:val="24"/>
        </w:rPr>
        <w:t>o saldo final do mês totalizou R$ 417.900.711,99 (quatrocentos e dezessete milhões, novecentos mil, setecentos e onze reais e noventa e nove centavos).</w:t>
      </w:r>
    </w:p>
    <w:p w14:paraId="6C87DEDB" w14:textId="57905E27" w:rsidR="00D50824" w:rsidRPr="003C2567" w:rsidRDefault="0045105D" w:rsidP="00754DB2">
      <w:pPr>
        <w:spacing w:before="120" w:after="120" w:line="360" w:lineRule="auto"/>
        <w:jc w:val="both"/>
        <w:rPr>
          <w:rFonts w:ascii="Arial" w:hAnsi="Arial"/>
          <w:sz w:val="24"/>
          <w:szCs w:val="24"/>
        </w:rPr>
      </w:pPr>
      <w:r w:rsidRPr="003C2567">
        <w:rPr>
          <w:rFonts w:ascii="Arial" w:hAnsi="Arial"/>
          <w:sz w:val="24"/>
          <w:szCs w:val="24"/>
        </w:rPr>
        <w:t>No quesito rentabilidade o</w:t>
      </w:r>
      <w:r w:rsidR="00A923B8" w:rsidRPr="003C2567">
        <w:rPr>
          <w:rFonts w:ascii="Arial" w:hAnsi="Arial"/>
          <w:sz w:val="24"/>
          <w:szCs w:val="24"/>
        </w:rPr>
        <w:t>s</w:t>
      </w:r>
      <w:r w:rsidRPr="003C2567">
        <w:rPr>
          <w:rFonts w:ascii="Arial" w:hAnsi="Arial"/>
          <w:sz w:val="24"/>
          <w:szCs w:val="24"/>
        </w:rPr>
        <w:t xml:space="preserve"> fundo</w:t>
      </w:r>
      <w:r w:rsidR="00A923B8" w:rsidRPr="003C2567">
        <w:rPr>
          <w:rFonts w:ascii="Arial" w:hAnsi="Arial"/>
          <w:sz w:val="24"/>
          <w:szCs w:val="24"/>
        </w:rPr>
        <w:t>s</w:t>
      </w:r>
      <w:r w:rsidRPr="003C2567">
        <w:rPr>
          <w:rFonts w:ascii="Arial" w:hAnsi="Arial"/>
          <w:sz w:val="24"/>
          <w:szCs w:val="24"/>
        </w:rPr>
        <w:t xml:space="preserve"> de renda fixa que se destac</w:t>
      </w:r>
      <w:r w:rsidR="00A923B8" w:rsidRPr="003C2567">
        <w:rPr>
          <w:rFonts w:ascii="Arial" w:hAnsi="Arial"/>
          <w:sz w:val="24"/>
          <w:szCs w:val="24"/>
        </w:rPr>
        <w:t xml:space="preserve">aram </w:t>
      </w:r>
      <w:r w:rsidR="00B43D67" w:rsidRPr="003C2567">
        <w:rPr>
          <w:rFonts w:ascii="Arial" w:hAnsi="Arial"/>
          <w:sz w:val="24"/>
          <w:szCs w:val="24"/>
        </w:rPr>
        <w:t xml:space="preserve">no </w:t>
      </w:r>
      <w:r w:rsidRPr="003C2567">
        <w:rPr>
          <w:rFonts w:ascii="Arial" w:hAnsi="Arial"/>
          <w:sz w:val="24"/>
          <w:szCs w:val="24"/>
        </w:rPr>
        <w:t xml:space="preserve">mês de </w:t>
      </w:r>
      <w:r w:rsidR="00D50824" w:rsidRPr="003C2567">
        <w:rPr>
          <w:rFonts w:ascii="Arial" w:hAnsi="Arial"/>
          <w:sz w:val="24"/>
          <w:szCs w:val="24"/>
        </w:rPr>
        <w:t xml:space="preserve">março </w:t>
      </w:r>
      <w:r w:rsidR="00B035BE" w:rsidRPr="003C2567">
        <w:rPr>
          <w:rFonts w:ascii="Arial" w:hAnsi="Arial"/>
          <w:sz w:val="24"/>
          <w:szCs w:val="24"/>
        </w:rPr>
        <w:t xml:space="preserve">de 2023 </w:t>
      </w:r>
      <w:r w:rsidR="00A923B8" w:rsidRPr="003C2567">
        <w:rPr>
          <w:rFonts w:ascii="Arial" w:hAnsi="Arial"/>
          <w:sz w:val="24"/>
          <w:szCs w:val="24"/>
        </w:rPr>
        <w:t xml:space="preserve">foram os fundos </w:t>
      </w:r>
      <w:r w:rsidR="00D50824" w:rsidRPr="003C2567">
        <w:rPr>
          <w:rFonts w:ascii="Arial" w:hAnsi="Arial"/>
          <w:sz w:val="24"/>
          <w:szCs w:val="24"/>
        </w:rPr>
        <w:t xml:space="preserve">Caixa Brasil 2030 II Títulos Públicos FI Renda Fixa e Caixa </w:t>
      </w:r>
      <w:r w:rsidR="00D50824" w:rsidRPr="003C2567">
        <w:rPr>
          <w:rFonts w:ascii="Arial" w:hAnsi="Arial"/>
          <w:sz w:val="24"/>
          <w:szCs w:val="24"/>
        </w:rPr>
        <w:br/>
        <w:t>Novo Brasil FIC Renda Fixa Referenciado IMA-B LP com rentabilidade de 2,78% e 2,69%, respectivamente. J</w:t>
      </w:r>
      <w:r w:rsidRPr="003C2567">
        <w:rPr>
          <w:rFonts w:ascii="Arial" w:hAnsi="Arial"/>
          <w:sz w:val="24"/>
          <w:szCs w:val="24"/>
        </w:rPr>
        <w:t>á em renda variável o destaque f</w:t>
      </w:r>
      <w:r w:rsidR="005A4BD5" w:rsidRPr="003C2567">
        <w:rPr>
          <w:rFonts w:ascii="Arial" w:hAnsi="Arial"/>
          <w:sz w:val="24"/>
          <w:szCs w:val="24"/>
        </w:rPr>
        <w:t xml:space="preserve">oi o fundo </w:t>
      </w:r>
      <w:r w:rsidR="00D50824" w:rsidRPr="003C2567">
        <w:rPr>
          <w:rFonts w:ascii="Arial" w:hAnsi="Arial"/>
          <w:sz w:val="24"/>
          <w:szCs w:val="24"/>
        </w:rPr>
        <w:t>Caixa Indexa Bolsa Americana FI Multimercado LP com rentabilidade de 3,98% no mês.</w:t>
      </w:r>
    </w:p>
    <w:p w14:paraId="29BE7667" w14:textId="75CEF33D" w:rsidR="00B54EE8" w:rsidRPr="003C2567" w:rsidRDefault="0045105D" w:rsidP="00754DB2">
      <w:pPr>
        <w:spacing w:before="120" w:after="120" w:line="360" w:lineRule="auto"/>
        <w:jc w:val="both"/>
        <w:rPr>
          <w:rFonts w:ascii="Arial" w:hAnsi="Arial"/>
          <w:sz w:val="24"/>
          <w:szCs w:val="24"/>
        </w:rPr>
      </w:pPr>
      <w:r w:rsidRPr="003C2567">
        <w:rPr>
          <w:rFonts w:ascii="Arial" w:hAnsi="Arial"/>
          <w:sz w:val="24"/>
          <w:szCs w:val="24"/>
        </w:rPr>
        <w:t xml:space="preserve">A administração dos recursos da carteira de investimentos, no mês de </w:t>
      </w:r>
      <w:r w:rsidR="00D50824" w:rsidRPr="003C2567">
        <w:rPr>
          <w:rFonts w:ascii="Arial" w:hAnsi="Arial"/>
          <w:sz w:val="24"/>
          <w:szCs w:val="24"/>
        </w:rPr>
        <w:t>março</w:t>
      </w:r>
      <w:r w:rsidR="00B035BE" w:rsidRPr="003C2567">
        <w:rPr>
          <w:rFonts w:ascii="Arial" w:hAnsi="Arial"/>
          <w:sz w:val="24"/>
          <w:szCs w:val="24"/>
        </w:rPr>
        <w:t xml:space="preserve">/2023 </w:t>
      </w:r>
      <w:r w:rsidRPr="003C2567">
        <w:rPr>
          <w:rFonts w:ascii="Arial" w:hAnsi="Arial"/>
          <w:sz w:val="24"/>
          <w:szCs w:val="24"/>
        </w:rPr>
        <w:t xml:space="preserve">está distribuída entre </w:t>
      </w:r>
      <w:r w:rsidR="00B54EE8" w:rsidRPr="003C2567">
        <w:rPr>
          <w:rFonts w:ascii="Arial" w:hAnsi="Arial"/>
          <w:sz w:val="24"/>
          <w:szCs w:val="24"/>
        </w:rPr>
        <w:t xml:space="preserve">Tesouro Nacional (títulos públicos) com </w:t>
      </w:r>
      <w:r w:rsidR="00D50824" w:rsidRPr="003C2567">
        <w:rPr>
          <w:rFonts w:ascii="Arial" w:hAnsi="Arial"/>
          <w:sz w:val="24"/>
          <w:szCs w:val="24"/>
        </w:rPr>
        <w:t>31,73</w:t>
      </w:r>
      <w:r w:rsidR="00B54EE8" w:rsidRPr="003C2567">
        <w:rPr>
          <w:rFonts w:ascii="Arial" w:hAnsi="Arial"/>
          <w:sz w:val="24"/>
          <w:szCs w:val="24"/>
        </w:rPr>
        <w:t xml:space="preserve">%, </w:t>
      </w:r>
      <w:r w:rsidRPr="003C2567">
        <w:rPr>
          <w:rFonts w:ascii="Arial" w:hAnsi="Arial"/>
          <w:sz w:val="24"/>
          <w:szCs w:val="24"/>
        </w:rPr>
        <w:t xml:space="preserve">Caixa Econômica Federal com </w:t>
      </w:r>
      <w:r w:rsidR="00B54EE8" w:rsidRPr="003C2567">
        <w:rPr>
          <w:rFonts w:ascii="Arial" w:hAnsi="Arial"/>
          <w:sz w:val="24"/>
          <w:szCs w:val="24"/>
        </w:rPr>
        <w:t>28,</w:t>
      </w:r>
      <w:r w:rsidR="002F6FFA" w:rsidRPr="003C2567">
        <w:rPr>
          <w:rFonts w:ascii="Arial" w:hAnsi="Arial"/>
          <w:sz w:val="24"/>
          <w:szCs w:val="24"/>
        </w:rPr>
        <w:t>66</w:t>
      </w:r>
      <w:r w:rsidRPr="003C2567">
        <w:rPr>
          <w:rFonts w:ascii="Arial" w:hAnsi="Arial"/>
          <w:sz w:val="24"/>
          <w:szCs w:val="24"/>
        </w:rPr>
        <w:t>%, BB Gestão de Recursos com</w:t>
      </w:r>
      <w:r w:rsidR="005C2899" w:rsidRPr="003C2567">
        <w:rPr>
          <w:rFonts w:ascii="Arial" w:hAnsi="Arial"/>
          <w:sz w:val="24"/>
          <w:szCs w:val="24"/>
        </w:rPr>
        <w:t xml:space="preserve"> </w:t>
      </w:r>
      <w:r w:rsidR="00B54EE8" w:rsidRPr="003C2567">
        <w:rPr>
          <w:rFonts w:ascii="Arial" w:hAnsi="Arial"/>
          <w:sz w:val="24"/>
          <w:szCs w:val="24"/>
        </w:rPr>
        <w:t>17,6</w:t>
      </w:r>
      <w:r w:rsidR="002F6FFA" w:rsidRPr="003C2567">
        <w:rPr>
          <w:rFonts w:ascii="Arial" w:hAnsi="Arial"/>
          <w:sz w:val="24"/>
          <w:szCs w:val="24"/>
        </w:rPr>
        <w:t>7</w:t>
      </w:r>
      <w:r w:rsidRPr="003C2567">
        <w:rPr>
          <w:rFonts w:ascii="Arial" w:hAnsi="Arial"/>
          <w:sz w:val="24"/>
          <w:szCs w:val="24"/>
        </w:rPr>
        <w:t>%, Banco do Estado do Espírito Santo com</w:t>
      </w:r>
      <w:r w:rsidR="00B035BE" w:rsidRPr="003C2567">
        <w:rPr>
          <w:rFonts w:ascii="Arial" w:hAnsi="Arial"/>
          <w:sz w:val="24"/>
          <w:szCs w:val="24"/>
        </w:rPr>
        <w:t xml:space="preserve"> </w:t>
      </w:r>
      <w:r w:rsidR="002F6FFA" w:rsidRPr="003C2567">
        <w:rPr>
          <w:rFonts w:ascii="Arial" w:hAnsi="Arial"/>
          <w:sz w:val="24"/>
          <w:szCs w:val="24"/>
        </w:rPr>
        <w:t>18,74</w:t>
      </w:r>
      <w:r w:rsidRPr="003C2567">
        <w:rPr>
          <w:rFonts w:ascii="Arial" w:hAnsi="Arial"/>
          <w:sz w:val="24"/>
          <w:szCs w:val="24"/>
        </w:rPr>
        <w:t xml:space="preserve">%, BNP PARIBAS com </w:t>
      </w:r>
      <w:r w:rsidR="00B54EE8" w:rsidRPr="003C2567">
        <w:rPr>
          <w:rFonts w:ascii="Arial" w:hAnsi="Arial"/>
          <w:sz w:val="24"/>
          <w:szCs w:val="24"/>
        </w:rPr>
        <w:t>0,70</w:t>
      </w:r>
      <w:r w:rsidRPr="003C2567">
        <w:rPr>
          <w:rFonts w:ascii="Arial" w:hAnsi="Arial"/>
          <w:sz w:val="24"/>
          <w:szCs w:val="24"/>
        </w:rPr>
        <w:t xml:space="preserve">%, BEM DTVM com </w:t>
      </w:r>
      <w:r w:rsidR="00B54EE8" w:rsidRPr="003C2567">
        <w:rPr>
          <w:rFonts w:ascii="Arial" w:hAnsi="Arial"/>
          <w:sz w:val="24"/>
          <w:szCs w:val="24"/>
        </w:rPr>
        <w:t>2,</w:t>
      </w:r>
      <w:r w:rsidR="002F6FFA" w:rsidRPr="003C2567">
        <w:rPr>
          <w:rFonts w:ascii="Arial" w:hAnsi="Arial"/>
          <w:sz w:val="24"/>
          <w:szCs w:val="24"/>
        </w:rPr>
        <w:t>49</w:t>
      </w:r>
      <w:r w:rsidRPr="003C2567">
        <w:rPr>
          <w:rFonts w:ascii="Arial" w:hAnsi="Arial"/>
          <w:sz w:val="24"/>
          <w:szCs w:val="24"/>
        </w:rPr>
        <w:t>%</w:t>
      </w:r>
      <w:r w:rsidR="003C2567" w:rsidRPr="003C2567">
        <w:rPr>
          <w:rFonts w:ascii="Arial" w:hAnsi="Arial"/>
          <w:sz w:val="24"/>
          <w:szCs w:val="24"/>
        </w:rPr>
        <w:t>.</w:t>
      </w:r>
    </w:p>
    <w:p w14:paraId="18B1FC9F" w14:textId="244298F1" w:rsidR="00994D6B" w:rsidRPr="007C7DF9" w:rsidRDefault="0045105D" w:rsidP="00754DB2">
      <w:pPr>
        <w:spacing w:before="120" w:after="120" w:line="360" w:lineRule="auto"/>
        <w:jc w:val="both"/>
        <w:rPr>
          <w:rFonts w:ascii="Arial" w:hAnsi="Arial"/>
          <w:sz w:val="24"/>
          <w:szCs w:val="24"/>
        </w:rPr>
      </w:pPr>
      <w:r w:rsidRPr="003C2567">
        <w:rPr>
          <w:rFonts w:ascii="Arial" w:hAnsi="Arial"/>
          <w:sz w:val="24"/>
          <w:szCs w:val="24"/>
        </w:rPr>
        <w:t xml:space="preserve">Quanto a estratégia de alocação dos recursos, o fundo previdenciário fechou o mês de </w:t>
      </w:r>
      <w:r w:rsidR="002C2826" w:rsidRPr="003C2567">
        <w:rPr>
          <w:rFonts w:ascii="Arial" w:hAnsi="Arial"/>
          <w:sz w:val="24"/>
          <w:szCs w:val="24"/>
        </w:rPr>
        <w:t>março</w:t>
      </w:r>
      <w:r w:rsidR="00B035BE" w:rsidRPr="003C2567">
        <w:rPr>
          <w:rFonts w:ascii="Arial" w:hAnsi="Arial"/>
          <w:sz w:val="24"/>
          <w:szCs w:val="24"/>
        </w:rPr>
        <w:t xml:space="preserve">/2023 </w:t>
      </w:r>
      <w:r w:rsidRPr="003C2567">
        <w:rPr>
          <w:rFonts w:ascii="Arial" w:hAnsi="Arial"/>
          <w:sz w:val="24"/>
          <w:szCs w:val="24"/>
        </w:rPr>
        <w:t xml:space="preserve">com </w:t>
      </w:r>
      <w:r w:rsidR="00150744" w:rsidRPr="003C2567">
        <w:rPr>
          <w:rFonts w:ascii="Arial" w:hAnsi="Arial"/>
          <w:sz w:val="24"/>
          <w:szCs w:val="24"/>
        </w:rPr>
        <w:t>79,</w:t>
      </w:r>
      <w:r w:rsidR="002C2826" w:rsidRPr="003C2567">
        <w:rPr>
          <w:rFonts w:ascii="Arial" w:hAnsi="Arial"/>
          <w:sz w:val="24"/>
          <w:szCs w:val="24"/>
        </w:rPr>
        <w:t>51</w:t>
      </w:r>
      <w:r w:rsidRPr="003C2567">
        <w:rPr>
          <w:rFonts w:ascii="Arial" w:hAnsi="Arial"/>
          <w:sz w:val="24"/>
          <w:szCs w:val="24"/>
        </w:rPr>
        <w:t xml:space="preserve">% de seu patrimônio alocado em fundos de renda fixa e títulos do tesouro nacional; </w:t>
      </w:r>
      <w:r w:rsidR="00150744" w:rsidRPr="003C2567">
        <w:rPr>
          <w:rFonts w:ascii="Arial" w:hAnsi="Arial"/>
          <w:sz w:val="24"/>
          <w:szCs w:val="24"/>
        </w:rPr>
        <w:t>14,</w:t>
      </w:r>
      <w:r w:rsidR="002C2826" w:rsidRPr="003C2567">
        <w:rPr>
          <w:rFonts w:ascii="Arial" w:hAnsi="Arial"/>
          <w:sz w:val="24"/>
          <w:szCs w:val="24"/>
        </w:rPr>
        <w:t>46</w:t>
      </w:r>
      <w:r w:rsidRPr="003C2567">
        <w:rPr>
          <w:rFonts w:ascii="Arial" w:hAnsi="Arial"/>
          <w:sz w:val="24"/>
          <w:szCs w:val="24"/>
        </w:rPr>
        <w:t xml:space="preserve">% alocados em fundos de renda variável e </w:t>
      </w:r>
      <w:r w:rsidR="002C2826" w:rsidRPr="003C2567">
        <w:rPr>
          <w:rFonts w:ascii="Arial" w:hAnsi="Arial"/>
          <w:sz w:val="24"/>
          <w:szCs w:val="24"/>
        </w:rPr>
        <w:t>6,04</w:t>
      </w:r>
      <w:r w:rsidRPr="003C2567">
        <w:rPr>
          <w:rFonts w:ascii="Arial" w:hAnsi="Arial"/>
          <w:sz w:val="24"/>
          <w:szCs w:val="24"/>
        </w:rPr>
        <w:t>% em fundos de renda variável no exterior distribuídos nas instituições financeiras administradoras</w:t>
      </w:r>
      <w:r w:rsidR="003C2567" w:rsidRPr="003C2567">
        <w:rPr>
          <w:rFonts w:ascii="Arial" w:hAnsi="Arial"/>
          <w:sz w:val="24"/>
          <w:szCs w:val="24"/>
        </w:rPr>
        <w:t xml:space="preserve"> e gestoras</w:t>
      </w:r>
      <w:r w:rsidRPr="003C2567">
        <w:rPr>
          <w:rFonts w:ascii="Arial" w:hAnsi="Arial"/>
          <w:sz w:val="24"/>
          <w:szCs w:val="24"/>
        </w:rPr>
        <w:t xml:space="preserve"> de recursos cadastradas junto ao </w:t>
      </w:r>
      <w:r w:rsidR="003C2567" w:rsidRPr="003C2567">
        <w:rPr>
          <w:rFonts w:ascii="Arial" w:hAnsi="Arial"/>
          <w:sz w:val="24"/>
          <w:szCs w:val="24"/>
        </w:rPr>
        <w:t>IPC</w:t>
      </w:r>
      <w:r w:rsidRPr="003C2567">
        <w:rPr>
          <w:rFonts w:ascii="Arial" w:hAnsi="Arial"/>
          <w:sz w:val="24"/>
          <w:szCs w:val="24"/>
        </w:rPr>
        <w:t>.</w:t>
      </w:r>
      <w:r w:rsidRPr="007C7DF9">
        <w:rPr>
          <w:rFonts w:ascii="Arial" w:hAnsi="Arial"/>
          <w:sz w:val="24"/>
          <w:szCs w:val="24"/>
        </w:rPr>
        <w:t xml:space="preserve"> </w:t>
      </w:r>
    </w:p>
    <w:p w14:paraId="376B286A" w14:textId="514A8476" w:rsidR="003D1D53" w:rsidRPr="00D61CE2" w:rsidRDefault="0045105D" w:rsidP="00754DB2">
      <w:pPr>
        <w:spacing w:before="120"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C2567">
        <w:rPr>
          <w:rFonts w:ascii="Arial" w:hAnsi="Arial" w:cs="Arial"/>
          <w:sz w:val="24"/>
          <w:szCs w:val="24"/>
        </w:rPr>
        <w:lastRenderedPageBreak/>
        <w:t>O Instituto de Previdência dos Servidores Públicos do Município de Cariacica tem como meta atuarial para o exercício de 202</w:t>
      </w:r>
      <w:r w:rsidR="00D30B57" w:rsidRPr="003C2567">
        <w:rPr>
          <w:rFonts w:ascii="Arial" w:hAnsi="Arial" w:cs="Arial"/>
          <w:sz w:val="24"/>
          <w:szCs w:val="24"/>
        </w:rPr>
        <w:t>3</w:t>
      </w:r>
      <w:r w:rsidRPr="003C2567">
        <w:rPr>
          <w:rFonts w:ascii="Arial" w:hAnsi="Arial" w:cs="Arial"/>
          <w:sz w:val="24"/>
          <w:szCs w:val="24"/>
        </w:rPr>
        <w:t xml:space="preserve"> o indicador econômico IPCA, adicionado a mais 4,9</w:t>
      </w:r>
      <w:r w:rsidR="00D30B57" w:rsidRPr="003C2567">
        <w:rPr>
          <w:rFonts w:ascii="Arial" w:hAnsi="Arial" w:cs="Arial"/>
          <w:sz w:val="24"/>
          <w:szCs w:val="24"/>
        </w:rPr>
        <w:t>2</w:t>
      </w:r>
      <w:r w:rsidRPr="003C2567">
        <w:rPr>
          <w:rFonts w:ascii="Arial" w:hAnsi="Arial" w:cs="Arial"/>
          <w:sz w:val="24"/>
          <w:szCs w:val="24"/>
        </w:rPr>
        <w:t>% a.a., ou seja, IPCA + 4,9</w:t>
      </w:r>
      <w:r w:rsidR="00D30B57" w:rsidRPr="003C2567">
        <w:rPr>
          <w:rFonts w:ascii="Arial" w:hAnsi="Arial" w:cs="Arial"/>
          <w:sz w:val="24"/>
          <w:szCs w:val="24"/>
        </w:rPr>
        <w:t>2</w:t>
      </w:r>
      <w:r w:rsidRPr="003C2567">
        <w:rPr>
          <w:rFonts w:ascii="Arial" w:hAnsi="Arial" w:cs="Arial"/>
          <w:sz w:val="24"/>
          <w:szCs w:val="24"/>
        </w:rPr>
        <w:t xml:space="preserve">%, conforme definido na Avaliação Atuarial e </w:t>
      </w:r>
      <w:r w:rsidR="003C2567" w:rsidRPr="003C2567">
        <w:rPr>
          <w:rFonts w:ascii="Arial" w:hAnsi="Arial" w:cs="Arial"/>
          <w:sz w:val="24"/>
          <w:szCs w:val="24"/>
        </w:rPr>
        <w:t>M</w:t>
      </w:r>
      <w:r w:rsidRPr="003C2567">
        <w:rPr>
          <w:rFonts w:ascii="Arial" w:hAnsi="Arial" w:cs="Arial"/>
          <w:sz w:val="24"/>
          <w:szCs w:val="24"/>
        </w:rPr>
        <w:t xml:space="preserve">eta de </w:t>
      </w:r>
      <w:r w:rsidR="003C2567" w:rsidRPr="003C2567">
        <w:rPr>
          <w:rFonts w:ascii="Arial" w:hAnsi="Arial" w:cs="Arial"/>
          <w:sz w:val="24"/>
          <w:szCs w:val="24"/>
        </w:rPr>
        <w:t>R</w:t>
      </w:r>
      <w:r w:rsidRPr="003C2567">
        <w:rPr>
          <w:rFonts w:ascii="Arial" w:hAnsi="Arial" w:cs="Arial"/>
          <w:sz w:val="24"/>
          <w:szCs w:val="24"/>
        </w:rPr>
        <w:t>entabilidade de 5,</w:t>
      </w:r>
      <w:r w:rsidR="00D30B57" w:rsidRPr="003C2567">
        <w:rPr>
          <w:rFonts w:ascii="Arial" w:hAnsi="Arial" w:cs="Arial"/>
          <w:sz w:val="24"/>
          <w:szCs w:val="24"/>
        </w:rPr>
        <w:t>19</w:t>
      </w:r>
      <w:r w:rsidRPr="003C2567">
        <w:rPr>
          <w:rFonts w:ascii="Arial" w:hAnsi="Arial" w:cs="Arial"/>
          <w:sz w:val="24"/>
          <w:szCs w:val="24"/>
        </w:rPr>
        <w:t xml:space="preserve">% a.a. + IPCA, conforme apresentado pela consultoria Crédito e Mercado e demonstrado na Política de Investimentos. A meta atuarial mensal em </w:t>
      </w:r>
      <w:r w:rsidR="002C2826" w:rsidRPr="003C2567">
        <w:rPr>
          <w:rFonts w:ascii="Arial" w:hAnsi="Arial" w:cs="Arial"/>
          <w:sz w:val="24"/>
          <w:szCs w:val="24"/>
        </w:rPr>
        <w:t>março</w:t>
      </w:r>
      <w:r w:rsidR="00D30B57" w:rsidRPr="003C2567">
        <w:rPr>
          <w:rFonts w:ascii="Arial" w:hAnsi="Arial" w:cs="Arial"/>
          <w:sz w:val="24"/>
          <w:szCs w:val="24"/>
        </w:rPr>
        <w:t xml:space="preserve">/2023 </w:t>
      </w:r>
      <w:r w:rsidRPr="003C2567">
        <w:rPr>
          <w:rFonts w:ascii="Arial" w:hAnsi="Arial" w:cs="Arial"/>
          <w:sz w:val="24"/>
          <w:szCs w:val="24"/>
        </w:rPr>
        <w:t xml:space="preserve">ficou em </w:t>
      </w:r>
      <w:r w:rsidR="002C2826" w:rsidRPr="003C2567">
        <w:rPr>
          <w:rFonts w:ascii="Arial" w:hAnsi="Arial" w:cs="Arial"/>
          <w:sz w:val="24"/>
          <w:szCs w:val="24"/>
        </w:rPr>
        <w:t>1,18</w:t>
      </w:r>
      <w:r w:rsidR="001A6AAB" w:rsidRPr="003C2567">
        <w:rPr>
          <w:rFonts w:ascii="Arial" w:hAnsi="Arial" w:cs="Arial"/>
          <w:sz w:val="24"/>
          <w:szCs w:val="24"/>
        </w:rPr>
        <w:t xml:space="preserve">% </w:t>
      </w:r>
      <w:r w:rsidRPr="003C2567">
        <w:rPr>
          <w:rFonts w:ascii="Arial" w:hAnsi="Arial" w:cs="Arial"/>
          <w:sz w:val="24"/>
          <w:szCs w:val="24"/>
        </w:rPr>
        <w:t xml:space="preserve">e a meta </w:t>
      </w:r>
      <w:r w:rsidRPr="00D61CE2">
        <w:rPr>
          <w:rFonts w:asciiTheme="minorHAnsi" w:hAnsiTheme="minorHAnsi" w:cstheme="minorHAnsi"/>
          <w:sz w:val="24"/>
          <w:szCs w:val="24"/>
        </w:rPr>
        <w:t xml:space="preserve">atuarial acumulada no ano fechou o mês de </w:t>
      </w:r>
      <w:r w:rsidR="002C2826" w:rsidRPr="00D61CE2">
        <w:rPr>
          <w:rFonts w:asciiTheme="minorHAnsi" w:hAnsiTheme="minorHAnsi" w:cstheme="minorHAnsi"/>
          <w:sz w:val="24"/>
          <w:szCs w:val="24"/>
        </w:rPr>
        <w:t>março</w:t>
      </w:r>
      <w:r w:rsidR="00B717C5" w:rsidRPr="00D61CE2">
        <w:rPr>
          <w:rFonts w:asciiTheme="minorHAnsi" w:hAnsiTheme="minorHAnsi" w:cstheme="minorHAnsi"/>
          <w:sz w:val="24"/>
          <w:szCs w:val="24"/>
        </w:rPr>
        <w:t xml:space="preserve"> </w:t>
      </w:r>
      <w:r w:rsidR="00D30B57" w:rsidRPr="00D61CE2">
        <w:rPr>
          <w:rFonts w:asciiTheme="minorHAnsi" w:hAnsiTheme="minorHAnsi" w:cstheme="minorHAnsi"/>
          <w:sz w:val="24"/>
          <w:szCs w:val="24"/>
        </w:rPr>
        <w:t xml:space="preserve">em </w:t>
      </w:r>
      <w:r w:rsidR="002C2826" w:rsidRPr="00D61CE2">
        <w:rPr>
          <w:rFonts w:asciiTheme="minorHAnsi" w:hAnsiTheme="minorHAnsi" w:cstheme="minorHAnsi"/>
          <w:sz w:val="24"/>
          <w:szCs w:val="24"/>
        </w:rPr>
        <w:t>3,39%</w:t>
      </w:r>
      <w:r w:rsidRPr="00D61CE2">
        <w:rPr>
          <w:rFonts w:asciiTheme="minorHAnsi" w:hAnsiTheme="minorHAnsi" w:cstheme="minorHAnsi"/>
          <w:sz w:val="24"/>
          <w:szCs w:val="24"/>
        </w:rPr>
        <w:t>, enquanto o retorno mensal da carteira de investimentos alcançou</w:t>
      </w:r>
      <w:r w:rsidR="002C2826" w:rsidRPr="00D61CE2">
        <w:rPr>
          <w:rFonts w:asciiTheme="minorHAnsi" w:hAnsiTheme="minorHAnsi" w:cstheme="minorHAnsi"/>
          <w:sz w:val="24"/>
          <w:szCs w:val="24"/>
        </w:rPr>
        <w:t xml:space="preserve"> no mês 1,04</w:t>
      </w:r>
      <w:r w:rsidR="006204D3" w:rsidRPr="00D61CE2">
        <w:rPr>
          <w:rFonts w:asciiTheme="minorHAnsi" w:hAnsiTheme="minorHAnsi" w:cstheme="minorHAnsi"/>
          <w:sz w:val="24"/>
          <w:szCs w:val="24"/>
        </w:rPr>
        <w:t xml:space="preserve">%, </w:t>
      </w:r>
      <w:r w:rsidRPr="00D61CE2">
        <w:rPr>
          <w:rFonts w:asciiTheme="minorHAnsi" w:hAnsiTheme="minorHAnsi" w:cstheme="minorHAnsi"/>
          <w:sz w:val="24"/>
          <w:szCs w:val="24"/>
        </w:rPr>
        <w:t xml:space="preserve">ficando o retorno acumulado no ano em </w:t>
      </w:r>
      <w:r w:rsidR="002C2826" w:rsidRPr="00D61CE2">
        <w:rPr>
          <w:rFonts w:asciiTheme="minorHAnsi" w:hAnsiTheme="minorHAnsi" w:cstheme="minorHAnsi"/>
          <w:sz w:val="24"/>
          <w:szCs w:val="24"/>
        </w:rPr>
        <w:t>2,55</w:t>
      </w:r>
      <w:r w:rsidRPr="00D61CE2">
        <w:rPr>
          <w:rFonts w:asciiTheme="minorHAnsi" w:hAnsiTheme="minorHAnsi" w:cstheme="minorHAnsi"/>
          <w:sz w:val="24"/>
          <w:szCs w:val="24"/>
        </w:rPr>
        <w:t>%.</w:t>
      </w:r>
    </w:p>
    <w:p w14:paraId="20965F76" w14:textId="108ADE59" w:rsidR="00D61CE2" w:rsidRPr="00D61CE2" w:rsidRDefault="003D1D53" w:rsidP="00754DB2">
      <w:pPr>
        <w:spacing w:before="120" w:after="120" w:line="360" w:lineRule="auto"/>
        <w:jc w:val="both"/>
        <w:rPr>
          <w:rFonts w:asciiTheme="minorHAnsi" w:hAnsiTheme="minorHAnsi" w:cstheme="minorHAnsi"/>
          <w:spacing w:val="-9"/>
          <w:sz w:val="24"/>
          <w:szCs w:val="24"/>
          <w:shd w:val="clear" w:color="auto" w:fill="FFFFFF"/>
        </w:rPr>
      </w:pPr>
      <w:r w:rsidRPr="00D61CE2">
        <w:rPr>
          <w:rFonts w:asciiTheme="minorHAnsi" w:eastAsia="Arial" w:hAnsiTheme="minorHAnsi" w:cstheme="minorHAnsi"/>
          <w:sz w:val="24"/>
          <w:szCs w:val="24"/>
        </w:rPr>
        <w:t xml:space="preserve">No mercado financeiro o Ibovespa, principal índice do mercado acionário brasileiro, fechou o mês de </w:t>
      </w:r>
      <w:r w:rsidR="00FE7F05" w:rsidRPr="00D61CE2">
        <w:rPr>
          <w:rFonts w:asciiTheme="minorHAnsi" w:eastAsia="Arial" w:hAnsiTheme="minorHAnsi" w:cstheme="minorHAnsi"/>
          <w:sz w:val="24"/>
          <w:szCs w:val="24"/>
        </w:rPr>
        <w:t>março</w:t>
      </w:r>
      <w:r w:rsidRPr="00D61CE2">
        <w:rPr>
          <w:rFonts w:asciiTheme="minorHAnsi" w:eastAsia="Arial" w:hAnsiTheme="minorHAnsi" w:cstheme="minorHAnsi"/>
          <w:sz w:val="24"/>
          <w:szCs w:val="24"/>
        </w:rPr>
        <w:t xml:space="preserve">/2023 com </w:t>
      </w:r>
      <w:r w:rsidR="00B717C5" w:rsidRPr="00D61CE2">
        <w:rPr>
          <w:rFonts w:asciiTheme="minorHAnsi" w:eastAsia="Arial" w:hAnsiTheme="minorHAnsi" w:cstheme="minorHAnsi"/>
          <w:sz w:val="24"/>
          <w:szCs w:val="24"/>
        </w:rPr>
        <w:t xml:space="preserve">queda </w:t>
      </w:r>
      <w:r w:rsidR="00FE7F05" w:rsidRPr="00D61CE2">
        <w:rPr>
          <w:rFonts w:asciiTheme="minorHAnsi" w:eastAsia="Arial" w:hAnsiTheme="minorHAnsi" w:cstheme="minorHAnsi"/>
          <w:sz w:val="24"/>
          <w:szCs w:val="24"/>
        </w:rPr>
        <w:t xml:space="preserve">2,91%, aos 101.882 </w:t>
      </w:r>
      <w:r w:rsidR="00B717C5" w:rsidRPr="00D61CE2">
        <w:rPr>
          <w:rFonts w:asciiTheme="minorHAnsi" w:eastAsia="Arial" w:hAnsiTheme="minorHAnsi" w:cstheme="minorHAnsi"/>
          <w:sz w:val="24"/>
          <w:szCs w:val="24"/>
        </w:rPr>
        <w:t xml:space="preserve">pontos, </w:t>
      </w:r>
      <w:r w:rsidR="00FE7F05" w:rsidRPr="00D61CE2">
        <w:rPr>
          <w:rFonts w:asciiTheme="minorHAnsi" w:eastAsia="Arial" w:hAnsiTheme="minorHAnsi" w:cstheme="minorHAnsi"/>
          <w:sz w:val="24"/>
          <w:szCs w:val="24"/>
        </w:rPr>
        <w:t xml:space="preserve">acumulando no ano perda de 7,16%. </w:t>
      </w:r>
      <w:r w:rsidR="0073033F" w:rsidRPr="00D61CE2">
        <w:rPr>
          <w:rFonts w:asciiTheme="minorHAnsi" w:eastAsia="Arial" w:hAnsiTheme="minorHAnsi" w:cstheme="minorHAnsi"/>
          <w:sz w:val="24"/>
          <w:szCs w:val="24"/>
        </w:rPr>
        <w:t>O principal motivo ronda o novo arcabouço fiscal apresentado que, ape</w:t>
      </w:r>
      <w:r w:rsidR="00D61CE2" w:rsidRPr="00D61CE2">
        <w:rPr>
          <w:rFonts w:asciiTheme="minorHAnsi" w:eastAsia="Arial" w:hAnsiTheme="minorHAnsi" w:cstheme="minorHAnsi"/>
          <w:sz w:val="24"/>
          <w:szCs w:val="24"/>
        </w:rPr>
        <w:t>s</w:t>
      </w:r>
      <w:r w:rsidR="0073033F" w:rsidRPr="00D61CE2">
        <w:rPr>
          <w:rFonts w:asciiTheme="minorHAnsi" w:eastAsia="Arial" w:hAnsiTheme="minorHAnsi" w:cstheme="minorHAnsi"/>
          <w:sz w:val="24"/>
          <w:szCs w:val="24"/>
        </w:rPr>
        <w:t xml:space="preserve">ar </w:t>
      </w:r>
      <w:r w:rsidR="0073033F" w:rsidRPr="00D61CE2">
        <w:rPr>
          <w:rFonts w:asciiTheme="minorHAnsi" w:hAnsiTheme="minorHAnsi" w:cstheme="minorHAnsi"/>
          <w:spacing w:val="-9"/>
          <w:sz w:val="24"/>
          <w:szCs w:val="24"/>
          <w:shd w:val="clear" w:color="auto" w:fill="FFFFFF"/>
        </w:rPr>
        <w:t xml:space="preserve">de as novas regras terem sido bem recebidas pelo mercado em um primeiro momento, dúvidas foram levantadas pelos investidores e acabaram influenciando no movimento de queda do Ibovespa. </w:t>
      </w:r>
      <w:r w:rsidR="00D61CE2" w:rsidRPr="00D61CE2">
        <w:rPr>
          <w:rFonts w:asciiTheme="minorHAnsi" w:hAnsiTheme="minorHAnsi" w:cstheme="minorHAnsi"/>
          <w:spacing w:val="-9"/>
          <w:sz w:val="24"/>
          <w:szCs w:val="24"/>
          <w:shd w:val="clear" w:color="auto" w:fill="FFFFFF"/>
        </w:rPr>
        <w:t xml:space="preserve">A principal dúvida vem quanto as questões relativas </w:t>
      </w:r>
      <w:r w:rsidR="007C19E8">
        <w:rPr>
          <w:rFonts w:asciiTheme="minorHAnsi" w:hAnsiTheme="minorHAnsi" w:cstheme="minorHAnsi"/>
          <w:spacing w:val="-9"/>
          <w:sz w:val="24"/>
          <w:szCs w:val="24"/>
          <w:shd w:val="clear" w:color="auto" w:fill="FFFFFF"/>
        </w:rPr>
        <w:t>à</w:t>
      </w:r>
      <w:r w:rsidR="00D61CE2" w:rsidRPr="00D61CE2">
        <w:rPr>
          <w:rFonts w:asciiTheme="minorHAnsi" w:hAnsiTheme="minorHAnsi" w:cstheme="minorHAnsi"/>
          <w:spacing w:val="-9"/>
          <w:sz w:val="24"/>
          <w:szCs w:val="24"/>
          <w:shd w:val="clear" w:color="auto" w:fill="FFFFFF"/>
        </w:rPr>
        <w:t xml:space="preserve"> receita, especialmente em entender como as receitas vão subir suficientemente para fazer com que o superávit seja atingido, já que o governo pretende zerar o déficit público em 2024 e buscar um superávit primário. </w:t>
      </w:r>
    </w:p>
    <w:p w14:paraId="33B97D2E" w14:textId="10686D8C" w:rsidR="00D61CE2" w:rsidRPr="00D61CE2" w:rsidRDefault="00D61CE2" w:rsidP="00754DB2">
      <w:pPr>
        <w:spacing w:before="120" w:after="120" w:line="360" w:lineRule="auto"/>
        <w:jc w:val="both"/>
        <w:rPr>
          <w:rFonts w:asciiTheme="minorHAnsi" w:hAnsiTheme="minorHAnsi" w:cstheme="minorHAnsi"/>
          <w:spacing w:val="-9"/>
          <w:sz w:val="24"/>
          <w:szCs w:val="24"/>
          <w:shd w:val="clear" w:color="auto" w:fill="FFFFFF"/>
        </w:rPr>
      </w:pPr>
      <w:r w:rsidRPr="00D61CE2">
        <w:rPr>
          <w:rFonts w:asciiTheme="minorHAnsi" w:hAnsiTheme="minorHAnsi" w:cstheme="minorHAnsi"/>
          <w:spacing w:val="-9"/>
          <w:sz w:val="24"/>
          <w:szCs w:val="24"/>
          <w:shd w:val="clear" w:color="auto" w:fill="FFFFFF"/>
        </w:rPr>
        <w:t>No mercado externo, o</w:t>
      </w:r>
      <w:r w:rsidRPr="00D61CE2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bom humor das bolsas em Wall Street </w:t>
      </w:r>
      <w:r w:rsidRPr="00D61CE2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no último dia do mês </w:t>
      </w:r>
      <w:r w:rsidRPr="00D61CE2">
        <w:rPr>
          <w:rFonts w:asciiTheme="minorHAnsi" w:hAnsiTheme="minorHAnsi" w:cstheme="minorHAnsi"/>
          <w:sz w:val="24"/>
          <w:szCs w:val="24"/>
          <w:shd w:val="clear" w:color="auto" w:fill="FFFFFF"/>
        </w:rPr>
        <w:t>ficou por conta da inflação abaixo do esperado, o que deve influenciar o Federal Reserve</w:t>
      </w:r>
      <w:r w:rsidRPr="00D61CE2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(Banco Central Americano) </w:t>
      </w:r>
      <w:r w:rsidRPr="00D61CE2">
        <w:rPr>
          <w:rFonts w:asciiTheme="minorHAnsi" w:hAnsiTheme="minorHAnsi" w:cstheme="minorHAnsi"/>
          <w:sz w:val="24"/>
          <w:szCs w:val="24"/>
          <w:shd w:val="clear" w:color="auto" w:fill="FFFFFF"/>
        </w:rPr>
        <w:t>na próxima reunião de política monetária, e também pelos sinais mais consistentes de que uma crise bancária não continuará se espalhando pelo sistema financeiro.</w:t>
      </w:r>
    </w:p>
    <w:p w14:paraId="1DE0842A" w14:textId="7012C237" w:rsidR="00994D6B" w:rsidRPr="003C2567" w:rsidRDefault="00204345" w:rsidP="00754DB2">
      <w:pPr>
        <w:spacing w:before="120" w:after="120" w:line="360" w:lineRule="auto"/>
        <w:jc w:val="both"/>
        <w:rPr>
          <w:rFonts w:ascii="Arial" w:hAnsi="Arial"/>
          <w:sz w:val="24"/>
          <w:szCs w:val="24"/>
        </w:rPr>
      </w:pPr>
      <w:r w:rsidRPr="003C2567">
        <w:rPr>
          <w:rFonts w:ascii="Arial" w:hAnsi="Arial" w:cs="Arial"/>
          <w:sz w:val="24"/>
          <w:szCs w:val="24"/>
        </w:rPr>
        <w:t>É importante destacar que t</w:t>
      </w:r>
      <w:r w:rsidR="0045105D" w:rsidRPr="003C2567">
        <w:rPr>
          <w:rFonts w:ascii="Arial" w:hAnsi="Arial" w:cs="Arial"/>
          <w:sz w:val="24"/>
          <w:szCs w:val="24"/>
        </w:rPr>
        <w:t>odas as alocações e realocações de recursos realizadas pelo Comitê de Investimentos seguem a Política de Investimentos do IPC, previamente elaborada pelo</w:t>
      </w:r>
      <w:r w:rsidR="0045105D" w:rsidRPr="003C2567">
        <w:rPr>
          <w:rFonts w:ascii="Arial" w:hAnsi="Arial"/>
          <w:sz w:val="24"/>
          <w:szCs w:val="24"/>
        </w:rPr>
        <w:t xml:space="preserve"> Comitê e aprovada pelo Conselho Administrativo, e filosofia de investimentos do Comitê de Investimentos buscando sempre investimentos que agreguem rentabilidade com a melhor relação risco x retorno, diversificação e balanceamento da carteira de investimentos.</w:t>
      </w:r>
    </w:p>
    <w:p w14:paraId="493AF608" w14:textId="77777777" w:rsidR="00994D6B" w:rsidRPr="003C2567" w:rsidRDefault="0045105D" w:rsidP="00754DB2">
      <w:pPr>
        <w:spacing w:before="120" w:after="120" w:line="360" w:lineRule="auto"/>
        <w:jc w:val="both"/>
        <w:rPr>
          <w:rFonts w:ascii="Arial" w:hAnsi="Arial"/>
          <w:sz w:val="24"/>
          <w:szCs w:val="24"/>
        </w:rPr>
      </w:pPr>
      <w:r w:rsidRPr="003C2567">
        <w:rPr>
          <w:rFonts w:ascii="Arial" w:hAnsi="Arial"/>
          <w:sz w:val="24"/>
          <w:szCs w:val="24"/>
        </w:rPr>
        <w:t xml:space="preserve">Ressalta-se que os dados dispostos nesse relatório são referentes ao fundo previdenciário enquanto os relatórios disponibilizados no Portal da Transparência do IPC são dados </w:t>
      </w:r>
      <w:r w:rsidRPr="003C2567">
        <w:rPr>
          <w:rFonts w:ascii="Arial" w:hAnsi="Arial"/>
          <w:sz w:val="24"/>
          <w:szCs w:val="24"/>
        </w:rPr>
        <w:lastRenderedPageBreak/>
        <w:t>consolidados, ou seja, incluem fundo previdenciário e fundo financeiro, assim divulgados para atender a legislação vigente.</w:t>
      </w:r>
    </w:p>
    <w:p w14:paraId="75FD6247" w14:textId="77777777" w:rsidR="00994D6B" w:rsidRPr="007C7DF9" w:rsidRDefault="0045105D">
      <w:pPr>
        <w:spacing w:before="119" w:after="119" w:line="360" w:lineRule="auto"/>
        <w:jc w:val="both"/>
        <w:rPr>
          <w:rFonts w:ascii="Arial" w:hAnsi="Arial"/>
          <w:b/>
          <w:sz w:val="23"/>
          <w:szCs w:val="23"/>
        </w:rPr>
      </w:pPr>
      <w:r w:rsidRPr="003C2567">
        <w:rPr>
          <w:rFonts w:ascii="Arial" w:eastAsia="Times New Roman" w:hAnsi="Arial"/>
          <w:sz w:val="24"/>
          <w:szCs w:val="24"/>
          <w:lang w:eastAsia="pt-BR"/>
        </w:rPr>
        <w:t>Este é o relatório.</w:t>
      </w:r>
      <w:r w:rsidRPr="007C7DF9">
        <w:rPr>
          <w:rFonts w:ascii="Arial" w:hAnsi="Arial"/>
          <w:b/>
          <w:sz w:val="24"/>
          <w:szCs w:val="24"/>
        </w:rPr>
        <w:t xml:space="preserve"> </w:t>
      </w:r>
    </w:p>
    <w:p w14:paraId="14B021AD" w14:textId="73258B19" w:rsidR="00994D6B" w:rsidRPr="007C7DF9" w:rsidRDefault="0045105D">
      <w:pPr>
        <w:spacing w:before="120" w:after="0" w:line="240" w:lineRule="auto"/>
        <w:jc w:val="right"/>
        <w:rPr>
          <w:rFonts w:ascii="Arial" w:eastAsia="Times New Roman" w:hAnsi="Arial"/>
          <w:sz w:val="24"/>
          <w:szCs w:val="24"/>
        </w:rPr>
      </w:pPr>
      <w:r w:rsidRPr="007C7DF9">
        <w:rPr>
          <w:rFonts w:ascii="Arial" w:eastAsia="Times New Roman" w:hAnsi="Arial"/>
          <w:sz w:val="24"/>
          <w:szCs w:val="24"/>
          <w:lang w:eastAsia="pt-BR"/>
        </w:rPr>
        <w:t xml:space="preserve">Cariacica, </w:t>
      </w:r>
      <w:r w:rsidR="007A21FF" w:rsidRPr="007C7DF9">
        <w:rPr>
          <w:rFonts w:ascii="Arial" w:eastAsia="Times New Roman" w:hAnsi="Arial"/>
          <w:sz w:val="24"/>
          <w:szCs w:val="24"/>
          <w:lang w:eastAsia="pt-BR"/>
        </w:rPr>
        <w:t>2</w:t>
      </w:r>
      <w:r w:rsidR="003C2567">
        <w:rPr>
          <w:rFonts w:ascii="Arial" w:eastAsia="Times New Roman" w:hAnsi="Arial"/>
          <w:sz w:val="24"/>
          <w:szCs w:val="24"/>
          <w:lang w:eastAsia="pt-BR"/>
        </w:rPr>
        <w:t>0</w:t>
      </w:r>
      <w:r w:rsidR="007A21FF" w:rsidRPr="007C7DF9">
        <w:rPr>
          <w:rFonts w:ascii="Arial" w:eastAsia="Times New Roman" w:hAnsi="Arial"/>
          <w:sz w:val="24"/>
          <w:szCs w:val="24"/>
          <w:lang w:eastAsia="pt-BR"/>
        </w:rPr>
        <w:t xml:space="preserve"> </w:t>
      </w:r>
      <w:r w:rsidR="00D30B57" w:rsidRPr="007C7DF9">
        <w:rPr>
          <w:rFonts w:ascii="Arial" w:eastAsia="Times New Roman" w:hAnsi="Arial"/>
          <w:sz w:val="24"/>
          <w:szCs w:val="24"/>
          <w:lang w:eastAsia="pt-BR"/>
        </w:rPr>
        <w:t xml:space="preserve">de </w:t>
      </w:r>
      <w:r w:rsidR="007A21FF" w:rsidRPr="007C7DF9">
        <w:rPr>
          <w:rFonts w:ascii="Arial" w:eastAsia="Times New Roman" w:hAnsi="Arial"/>
          <w:sz w:val="24"/>
          <w:szCs w:val="24"/>
          <w:lang w:eastAsia="pt-BR"/>
        </w:rPr>
        <w:t xml:space="preserve">abril </w:t>
      </w:r>
      <w:r w:rsidR="006204D3" w:rsidRPr="007C7DF9">
        <w:rPr>
          <w:rFonts w:ascii="Arial" w:eastAsia="Times New Roman" w:hAnsi="Arial"/>
          <w:sz w:val="24"/>
          <w:szCs w:val="24"/>
          <w:lang w:eastAsia="pt-BR"/>
        </w:rPr>
        <w:t>de 2023</w:t>
      </w:r>
      <w:r w:rsidRPr="007C7DF9">
        <w:rPr>
          <w:rFonts w:ascii="Arial" w:eastAsia="Times New Roman" w:hAnsi="Arial"/>
          <w:sz w:val="24"/>
          <w:szCs w:val="24"/>
          <w:lang w:eastAsia="pt-BR"/>
        </w:rPr>
        <w:t>.</w:t>
      </w:r>
    </w:p>
    <w:p w14:paraId="4408A245" w14:textId="77777777" w:rsidR="00994D6B" w:rsidRPr="007C7DF9" w:rsidRDefault="00994D6B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1A46024B" w14:textId="77777777" w:rsidR="00994D6B" w:rsidRPr="007C7DF9" w:rsidRDefault="00994D6B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0AD2A6D4" w14:textId="77777777" w:rsidR="00994D6B" w:rsidRPr="007C7DF9" w:rsidRDefault="00994D6B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77"/>
        <w:tblW w:w="5306" w:type="pct"/>
        <w:tblLook w:val="01E0" w:firstRow="1" w:lastRow="1" w:firstColumn="1" w:lastColumn="1" w:noHBand="0" w:noVBand="0"/>
      </w:tblPr>
      <w:tblGrid>
        <w:gridCol w:w="5269"/>
        <w:gridCol w:w="4959"/>
      </w:tblGrid>
      <w:tr w:rsidR="00994D6B" w:rsidRPr="007C7DF9" w14:paraId="7E3DE551" w14:textId="77777777">
        <w:trPr>
          <w:trHeight w:val="182"/>
        </w:trPr>
        <w:tc>
          <w:tcPr>
            <w:tcW w:w="25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E56D39A" w14:textId="77777777" w:rsidR="00994D6B" w:rsidRPr="007C7DF9" w:rsidRDefault="0045105D">
            <w:pPr>
              <w:spacing w:after="0" w:line="240" w:lineRule="auto"/>
              <w:ind w:left="250"/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7C7DF9">
              <w:rPr>
                <w:rFonts w:ascii="Arial" w:hAnsi="Arial"/>
                <w:b/>
                <w:sz w:val="24"/>
                <w:szCs w:val="24"/>
              </w:rPr>
              <w:t>Paulo Henrique da Costa e Silva Matos</w:t>
            </w:r>
          </w:p>
          <w:p w14:paraId="7400AACF" w14:textId="77777777" w:rsidR="00994D6B" w:rsidRPr="007C7DF9" w:rsidRDefault="0045105D">
            <w:pPr>
              <w:spacing w:after="0" w:line="240" w:lineRule="auto"/>
              <w:ind w:left="250"/>
              <w:jc w:val="center"/>
              <w:rPr>
                <w:rFonts w:ascii="Arial" w:hAnsi="Arial"/>
              </w:rPr>
            </w:pPr>
            <w:r w:rsidRPr="007C7DF9">
              <w:rPr>
                <w:rFonts w:ascii="Arial" w:hAnsi="Arial"/>
              </w:rPr>
              <w:t>Gestor Certificado CPA 10</w:t>
            </w:r>
          </w:p>
          <w:p w14:paraId="7C57DE5A" w14:textId="77777777" w:rsidR="00994D6B" w:rsidRDefault="00994D6B">
            <w:pPr>
              <w:spacing w:after="0" w:line="240" w:lineRule="auto"/>
              <w:ind w:left="250"/>
              <w:jc w:val="center"/>
              <w:rPr>
                <w:rFonts w:ascii="Arial" w:eastAsia="Times New Roman" w:hAnsi="Arial"/>
                <w:b/>
              </w:rPr>
            </w:pPr>
          </w:p>
          <w:p w14:paraId="58A5CEAB" w14:textId="42B6DD62" w:rsidR="00747456" w:rsidRPr="007C7DF9" w:rsidRDefault="00747456">
            <w:pPr>
              <w:spacing w:after="0" w:line="240" w:lineRule="auto"/>
              <w:ind w:left="250"/>
              <w:jc w:val="center"/>
              <w:rPr>
                <w:rFonts w:ascii="Arial" w:eastAsia="Times New Roman" w:hAnsi="Arial"/>
                <w:b/>
              </w:rPr>
            </w:pPr>
          </w:p>
        </w:tc>
        <w:tc>
          <w:tcPr>
            <w:tcW w:w="24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BF65F8B" w14:textId="77777777" w:rsidR="00994D6B" w:rsidRPr="007C7DF9" w:rsidRDefault="0045105D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7C7DF9">
              <w:rPr>
                <w:rFonts w:ascii="Arial" w:eastAsia="Times New Roman" w:hAnsi="Arial"/>
                <w:b/>
                <w:sz w:val="24"/>
                <w:szCs w:val="24"/>
                <w:lang w:eastAsia="pt-BR"/>
              </w:rPr>
              <w:t>Jean Felipe Nunes Anunciação</w:t>
            </w:r>
          </w:p>
          <w:p w14:paraId="65BC4723" w14:textId="77777777" w:rsidR="00994D6B" w:rsidRPr="007C7DF9" w:rsidRDefault="0045105D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7C7DF9">
              <w:rPr>
                <w:rFonts w:ascii="Arial" w:hAnsi="Arial"/>
              </w:rPr>
              <w:t>Gestor Certificado CPA 10</w:t>
            </w:r>
          </w:p>
          <w:p w14:paraId="0301FC6F" w14:textId="77777777" w:rsidR="00994D6B" w:rsidRPr="007C7DF9" w:rsidRDefault="00994D6B">
            <w:pPr>
              <w:spacing w:after="0" w:line="240" w:lineRule="auto"/>
              <w:jc w:val="center"/>
              <w:rPr>
                <w:rFonts w:ascii="Arial" w:eastAsia="Times New Roman" w:hAnsi="Arial"/>
                <w:b/>
              </w:rPr>
            </w:pPr>
          </w:p>
        </w:tc>
      </w:tr>
    </w:tbl>
    <w:p w14:paraId="27936112" w14:textId="77777777" w:rsidR="00994D6B" w:rsidRDefault="00994D6B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247EC184" w14:textId="77777777" w:rsidR="00747456" w:rsidRPr="007C7DF9" w:rsidRDefault="00747456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77"/>
        <w:tblW w:w="5306" w:type="pct"/>
        <w:tblLook w:val="01E0" w:firstRow="1" w:lastRow="1" w:firstColumn="1" w:lastColumn="1" w:noHBand="0" w:noVBand="0"/>
      </w:tblPr>
      <w:tblGrid>
        <w:gridCol w:w="5269"/>
        <w:gridCol w:w="4959"/>
      </w:tblGrid>
      <w:tr w:rsidR="00747456" w:rsidRPr="007C7DF9" w14:paraId="3004EFA2" w14:textId="77777777" w:rsidTr="00032E03">
        <w:trPr>
          <w:trHeight w:val="182"/>
        </w:trPr>
        <w:tc>
          <w:tcPr>
            <w:tcW w:w="25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D54861B" w14:textId="6CA9FF96" w:rsidR="00747456" w:rsidRPr="007C7DF9" w:rsidRDefault="00747456" w:rsidP="00032E03">
            <w:pPr>
              <w:spacing w:after="0" w:line="240" w:lineRule="auto"/>
              <w:ind w:left="250"/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 xml:space="preserve">Eliane Santana Tavares </w:t>
            </w:r>
          </w:p>
          <w:p w14:paraId="5EA9B19E" w14:textId="77777777" w:rsidR="00747456" w:rsidRPr="007C7DF9" w:rsidRDefault="00747456" w:rsidP="00032E03">
            <w:pPr>
              <w:spacing w:after="0" w:line="240" w:lineRule="auto"/>
              <w:ind w:left="250"/>
              <w:jc w:val="center"/>
              <w:rPr>
                <w:rFonts w:ascii="Arial" w:hAnsi="Arial"/>
              </w:rPr>
            </w:pPr>
            <w:r w:rsidRPr="007C7DF9">
              <w:rPr>
                <w:rFonts w:ascii="Arial" w:hAnsi="Arial"/>
              </w:rPr>
              <w:t>Gestor Certificado CPA 10</w:t>
            </w:r>
          </w:p>
          <w:p w14:paraId="2F0FE553" w14:textId="77777777" w:rsidR="00747456" w:rsidRPr="007C7DF9" w:rsidRDefault="00747456" w:rsidP="00032E03">
            <w:pPr>
              <w:spacing w:after="0" w:line="240" w:lineRule="auto"/>
              <w:ind w:left="250"/>
              <w:jc w:val="center"/>
              <w:rPr>
                <w:rFonts w:ascii="Arial" w:eastAsia="Times New Roman" w:hAnsi="Arial"/>
                <w:b/>
              </w:rPr>
            </w:pPr>
          </w:p>
        </w:tc>
        <w:tc>
          <w:tcPr>
            <w:tcW w:w="24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FDD5C59" w14:textId="489AA611" w:rsidR="00747456" w:rsidRPr="007C7DF9" w:rsidRDefault="00747456" w:rsidP="00032E03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eastAsia="Times New Roman" w:hAnsi="Arial"/>
                <w:b/>
                <w:sz w:val="24"/>
                <w:szCs w:val="24"/>
                <w:lang w:eastAsia="pt-BR"/>
              </w:rPr>
              <w:t>Rodrigo Garcia Giori</w:t>
            </w:r>
          </w:p>
          <w:p w14:paraId="3A2C88D7" w14:textId="38D79D35" w:rsidR="00747456" w:rsidRPr="007C7DF9" w:rsidRDefault="00747456" w:rsidP="00032E03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7C7DF9">
              <w:rPr>
                <w:rFonts w:ascii="Arial" w:hAnsi="Arial"/>
              </w:rPr>
              <w:t xml:space="preserve">Gestor Certificado CPA </w:t>
            </w:r>
            <w:r>
              <w:rPr>
                <w:rFonts w:ascii="Arial" w:hAnsi="Arial"/>
              </w:rPr>
              <w:t>20</w:t>
            </w:r>
          </w:p>
          <w:p w14:paraId="598A7705" w14:textId="77777777" w:rsidR="00747456" w:rsidRPr="007C7DF9" w:rsidRDefault="00747456" w:rsidP="00032E03">
            <w:pPr>
              <w:spacing w:after="0" w:line="240" w:lineRule="auto"/>
              <w:jc w:val="center"/>
              <w:rPr>
                <w:rFonts w:ascii="Arial" w:eastAsia="Times New Roman" w:hAnsi="Arial"/>
                <w:b/>
              </w:rPr>
            </w:pPr>
          </w:p>
        </w:tc>
      </w:tr>
    </w:tbl>
    <w:p w14:paraId="6ADBE31B" w14:textId="77777777" w:rsidR="00747456" w:rsidRDefault="00747456" w:rsidP="00747456">
      <w:pPr>
        <w:spacing w:after="0" w:line="240" w:lineRule="auto"/>
        <w:rPr>
          <w:rFonts w:ascii="Arial" w:hAnsi="Arial"/>
        </w:rPr>
      </w:pPr>
    </w:p>
    <w:p w14:paraId="080E0D82" w14:textId="77777777" w:rsidR="00747456" w:rsidRDefault="00747456" w:rsidP="00747456">
      <w:pPr>
        <w:spacing w:after="0" w:line="240" w:lineRule="auto"/>
        <w:rPr>
          <w:rFonts w:ascii="Arial" w:hAnsi="Arial"/>
        </w:rPr>
      </w:pPr>
    </w:p>
    <w:p w14:paraId="246A1DC0" w14:textId="77777777" w:rsidR="00747456" w:rsidRDefault="00747456" w:rsidP="00747456">
      <w:pPr>
        <w:spacing w:after="0" w:line="240" w:lineRule="auto"/>
        <w:rPr>
          <w:rFonts w:ascii="Arial" w:hAnsi="Arial"/>
        </w:rPr>
      </w:pPr>
    </w:p>
    <w:tbl>
      <w:tblPr>
        <w:tblpPr w:leftFromText="141" w:rightFromText="141" w:vertAnchor="text" w:horzAnchor="margin" w:tblpXSpec="center" w:tblpY="77"/>
        <w:tblW w:w="5306" w:type="pct"/>
        <w:tblLook w:val="01E0" w:firstRow="1" w:lastRow="1" w:firstColumn="1" w:lastColumn="1" w:noHBand="0" w:noVBand="0"/>
      </w:tblPr>
      <w:tblGrid>
        <w:gridCol w:w="5269"/>
        <w:gridCol w:w="4959"/>
      </w:tblGrid>
      <w:tr w:rsidR="00747456" w:rsidRPr="007C7DF9" w14:paraId="129D6A85" w14:textId="77777777" w:rsidTr="00032E03">
        <w:trPr>
          <w:trHeight w:val="182"/>
        </w:trPr>
        <w:tc>
          <w:tcPr>
            <w:tcW w:w="25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DD4559E" w14:textId="26746A27" w:rsidR="00747456" w:rsidRPr="007C7DF9" w:rsidRDefault="00747456" w:rsidP="00032E03">
            <w:pPr>
              <w:spacing w:after="0" w:line="240" w:lineRule="auto"/>
              <w:ind w:left="250"/>
              <w:jc w:val="center"/>
              <w:rPr>
                <w:rFonts w:ascii="Arial" w:hAnsi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/>
                <w:b/>
                <w:sz w:val="24"/>
                <w:szCs w:val="24"/>
              </w:rPr>
              <w:t>Jhawa</w:t>
            </w:r>
            <w:proofErr w:type="spellEnd"/>
            <w:r>
              <w:rPr>
                <w:rFonts w:ascii="Arial" w:hAnsi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4"/>
                <w:szCs w:val="24"/>
              </w:rPr>
              <w:t>Memelli</w:t>
            </w:r>
            <w:proofErr w:type="spellEnd"/>
            <w:r>
              <w:rPr>
                <w:rFonts w:ascii="Arial" w:hAnsi="Arial"/>
                <w:b/>
                <w:sz w:val="24"/>
                <w:szCs w:val="24"/>
              </w:rPr>
              <w:t xml:space="preserve"> de Moura </w:t>
            </w:r>
          </w:p>
          <w:p w14:paraId="15E55F66" w14:textId="67504387" w:rsidR="00747456" w:rsidRPr="007C7DF9" w:rsidRDefault="00747456" w:rsidP="00032E03">
            <w:pPr>
              <w:spacing w:after="0" w:line="240" w:lineRule="auto"/>
              <w:ind w:left="250"/>
              <w:jc w:val="center"/>
              <w:rPr>
                <w:rFonts w:ascii="Arial" w:hAnsi="Arial"/>
              </w:rPr>
            </w:pPr>
            <w:r w:rsidRPr="007C7DF9">
              <w:rPr>
                <w:rFonts w:ascii="Arial" w:hAnsi="Arial"/>
              </w:rPr>
              <w:t xml:space="preserve">Gestor Certificado CPA </w:t>
            </w:r>
            <w:r>
              <w:rPr>
                <w:rFonts w:ascii="Arial" w:hAnsi="Arial"/>
              </w:rPr>
              <w:t>20</w:t>
            </w:r>
          </w:p>
          <w:p w14:paraId="1B898D18" w14:textId="77777777" w:rsidR="00747456" w:rsidRPr="007C7DF9" w:rsidRDefault="00747456" w:rsidP="00032E03">
            <w:pPr>
              <w:spacing w:after="0" w:line="240" w:lineRule="auto"/>
              <w:ind w:left="250"/>
              <w:jc w:val="center"/>
              <w:rPr>
                <w:rFonts w:ascii="Arial" w:eastAsia="Times New Roman" w:hAnsi="Arial"/>
                <w:b/>
              </w:rPr>
            </w:pPr>
          </w:p>
        </w:tc>
        <w:tc>
          <w:tcPr>
            <w:tcW w:w="24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1583216" w14:textId="4CAB8965" w:rsidR="00747456" w:rsidRPr="007C7DF9" w:rsidRDefault="00747456" w:rsidP="00747456">
            <w:pPr>
              <w:spacing w:after="0" w:line="240" w:lineRule="auto"/>
              <w:contextualSpacing/>
              <w:jc w:val="center"/>
              <w:rPr>
                <w:rFonts w:ascii="Arial" w:eastAsia="Times New Roman" w:hAnsi="Arial"/>
              </w:rPr>
            </w:pPr>
            <w:r w:rsidRPr="007C7DF9">
              <w:rPr>
                <w:rFonts w:ascii="Arial" w:hAnsi="Arial"/>
                <w:b/>
                <w:sz w:val="24"/>
                <w:szCs w:val="24"/>
              </w:rPr>
              <w:t>Juliana de Lima Silva Rodrigues</w:t>
            </w:r>
            <w:r w:rsidRPr="007C7DF9">
              <w:rPr>
                <w:rFonts w:ascii="Arial" w:hAnsi="Arial"/>
              </w:rPr>
              <w:t xml:space="preserve"> </w:t>
            </w:r>
            <w:r w:rsidRPr="007C7DF9">
              <w:rPr>
                <w:rFonts w:ascii="Arial" w:eastAsia="Times New Roman" w:hAnsi="Arial"/>
                <w:lang w:eastAsia="pt-BR"/>
              </w:rPr>
              <w:t>Presidente do Comitê de Investimentos</w:t>
            </w:r>
          </w:p>
          <w:p w14:paraId="7F861FE0" w14:textId="77777777" w:rsidR="00747456" w:rsidRDefault="00747456" w:rsidP="00747456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7C7DF9">
              <w:rPr>
                <w:rFonts w:ascii="Arial" w:hAnsi="Arial"/>
              </w:rPr>
              <w:t>Gestor Certificado CPA 20</w:t>
            </w:r>
          </w:p>
          <w:p w14:paraId="3E31F4DE" w14:textId="5781C2D1" w:rsidR="00747456" w:rsidRPr="007C7DF9" w:rsidRDefault="00747456" w:rsidP="00032E03">
            <w:pPr>
              <w:spacing w:after="0" w:line="240" w:lineRule="auto"/>
              <w:jc w:val="center"/>
              <w:rPr>
                <w:rFonts w:ascii="Arial" w:hAnsi="Arial"/>
              </w:rPr>
            </w:pPr>
          </w:p>
          <w:p w14:paraId="1D8BADF6" w14:textId="77777777" w:rsidR="00747456" w:rsidRPr="007C7DF9" w:rsidRDefault="00747456" w:rsidP="00032E03">
            <w:pPr>
              <w:spacing w:after="0" w:line="240" w:lineRule="auto"/>
              <w:jc w:val="center"/>
              <w:rPr>
                <w:rFonts w:ascii="Arial" w:eastAsia="Times New Roman" w:hAnsi="Arial"/>
                <w:b/>
              </w:rPr>
            </w:pPr>
          </w:p>
        </w:tc>
      </w:tr>
    </w:tbl>
    <w:p w14:paraId="1131C80D" w14:textId="77777777" w:rsidR="00747456" w:rsidRDefault="00747456" w:rsidP="00747456">
      <w:pPr>
        <w:spacing w:after="0" w:line="240" w:lineRule="auto"/>
        <w:rPr>
          <w:rFonts w:ascii="Arial" w:hAnsi="Arial"/>
        </w:rPr>
      </w:pPr>
    </w:p>
    <w:p w14:paraId="5850BE8B" w14:textId="77777777" w:rsidR="00747456" w:rsidRDefault="00747456" w:rsidP="00747456">
      <w:pPr>
        <w:spacing w:after="0" w:line="240" w:lineRule="auto"/>
        <w:rPr>
          <w:rFonts w:ascii="Arial" w:hAnsi="Arial"/>
        </w:rPr>
      </w:pPr>
    </w:p>
    <w:p w14:paraId="2CAF8F16" w14:textId="77777777" w:rsidR="00747456" w:rsidRDefault="00747456" w:rsidP="00747456">
      <w:pPr>
        <w:spacing w:after="0" w:line="240" w:lineRule="auto"/>
        <w:rPr>
          <w:rFonts w:ascii="Arial" w:hAnsi="Arial"/>
        </w:rPr>
      </w:pPr>
    </w:p>
    <w:p w14:paraId="37EFC0B1" w14:textId="77777777" w:rsidR="00747456" w:rsidRDefault="00747456" w:rsidP="00747456">
      <w:pPr>
        <w:spacing w:after="0" w:line="240" w:lineRule="auto"/>
        <w:rPr>
          <w:rFonts w:ascii="Arial" w:hAnsi="Arial"/>
        </w:rPr>
      </w:pPr>
    </w:p>
    <w:p w14:paraId="7AA3ED82" w14:textId="77777777" w:rsidR="00747456" w:rsidRPr="00510B24" w:rsidRDefault="00747456" w:rsidP="00747456">
      <w:pPr>
        <w:spacing w:after="0" w:line="240" w:lineRule="auto"/>
        <w:rPr>
          <w:rFonts w:ascii="Arial" w:hAnsi="Arial"/>
        </w:rPr>
      </w:pPr>
    </w:p>
    <w:sectPr w:rsidR="00747456" w:rsidRPr="00510B24">
      <w:headerReference w:type="default" r:id="rId7"/>
      <w:footerReference w:type="default" r:id="rId8"/>
      <w:pgSz w:w="11906" w:h="16838"/>
      <w:pgMar w:top="567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99D30" w14:textId="77777777" w:rsidR="00EF5BF9" w:rsidRDefault="00EF5BF9">
      <w:pPr>
        <w:spacing w:after="0" w:line="240" w:lineRule="auto"/>
      </w:pPr>
      <w:r>
        <w:separator/>
      </w:r>
    </w:p>
  </w:endnote>
  <w:endnote w:type="continuationSeparator" w:id="0">
    <w:p w14:paraId="5DEDF47E" w14:textId="77777777" w:rsidR="00EF5BF9" w:rsidRDefault="00EF5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78821" w14:textId="77777777" w:rsidR="00994D6B" w:rsidRDefault="0045105D">
    <w:pPr>
      <w:pStyle w:val="Rodap"/>
      <w:spacing w:after="0" w:line="240" w:lineRule="auto"/>
      <w:jc w:val="center"/>
      <w:rPr>
        <w:rFonts w:ascii="Arial" w:hAnsi="Arial"/>
        <w:sz w:val="20"/>
        <w:szCs w:val="20"/>
      </w:rPr>
    </w:pPr>
    <w:r>
      <w:rPr>
        <w:rFonts w:ascii="Arial" w:hAnsi="Arial"/>
        <w:sz w:val="20"/>
        <w:szCs w:val="20"/>
      </w:rPr>
      <w:t>Rua Edgar Gonçalves, s/n, Campo Grande, Cariacica/ES</w:t>
    </w:r>
  </w:p>
  <w:p w14:paraId="461E3A0C" w14:textId="77777777" w:rsidR="00994D6B" w:rsidRDefault="0045105D">
    <w:pPr>
      <w:pStyle w:val="Rodap"/>
      <w:spacing w:after="0" w:line="240" w:lineRule="auto"/>
      <w:jc w:val="center"/>
      <w:rPr>
        <w:rFonts w:ascii="Arial" w:hAnsi="Arial"/>
        <w:sz w:val="20"/>
        <w:szCs w:val="20"/>
        <w:lang w:val="en-US"/>
      </w:rPr>
    </w:pPr>
    <w:r>
      <w:rPr>
        <w:rFonts w:ascii="Arial" w:hAnsi="Arial"/>
        <w:sz w:val="20"/>
        <w:szCs w:val="20"/>
        <w:lang w:val="en-US"/>
      </w:rPr>
      <w:t xml:space="preserve">CEP: 29.146-550 – Tel: (27)3396-7544 – </w:t>
    </w:r>
    <w:hyperlink r:id="rId1" w:history="1">
      <w:r>
        <w:rPr>
          <w:rStyle w:val="Hyperlink"/>
          <w:rFonts w:ascii="Arial" w:hAnsi="Arial"/>
          <w:sz w:val="20"/>
          <w:szCs w:val="20"/>
          <w:lang w:val="en-US"/>
        </w:rPr>
        <w:t>comunicaçãoipc@ipccariacica.es.gov.br</w:t>
      </w:r>
    </w:hyperlink>
  </w:p>
  <w:p w14:paraId="10A5B2F5" w14:textId="77777777" w:rsidR="00994D6B" w:rsidRDefault="00000000">
    <w:pPr>
      <w:pStyle w:val="Rodap"/>
      <w:spacing w:after="0" w:line="240" w:lineRule="auto"/>
      <w:jc w:val="center"/>
      <w:rPr>
        <w:lang w:val="en-US"/>
      </w:rPr>
    </w:pPr>
    <w:hyperlink r:id="rId2" w:history="1">
      <w:r w:rsidR="0045105D">
        <w:rPr>
          <w:rStyle w:val="Hyperlink"/>
          <w:rFonts w:ascii="Arial" w:hAnsi="Arial"/>
          <w:sz w:val="20"/>
          <w:szCs w:val="20"/>
          <w:lang w:val="en-US"/>
        </w:rPr>
        <w:t>www.ipc.cariacica.es.gov.br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46B1F" w14:textId="77777777" w:rsidR="00EF5BF9" w:rsidRDefault="00EF5BF9">
      <w:pPr>
        <w:spacing w:after="0" w:line="240" w:lineRule="auto"/>
      </w:pPr>
      <w:r>
        <w:separator/>
      </w:r>
    </w:p>
  </w:footnote>
  <w:footnote w:type="continuationSeparator" w:id="0">
    <w:p w14:paraId="6A0E9EDE" w14:textId="77777777" w:rsidR="00EF5BF9" w:rsidRDefault="00EF5B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9C4CA" w14:textId="26E82025" w:rsidR="00994D6B" w:rsidRDefault="0009659C">
    <w:pPr>
      <w:spacing w:after="0" w:line="240" w:lineRule="auto"/>
      <w:contextualSpacing/>
      <w:jc w:val="center"/>
      <w:rPr>
        <w:rFonts w:ascii="Arial" w:hAnsi="Arial"/>
        <w:b/>
        <w:sz w:val="24"/>
        <w:szCs w:val="24"/>
      </w:rPr>
    </w:pPr>
    <w:r>
      <w:rPr>
        <w:noProof/>
        <w:lang w:eastAsia="pt-BR"/>
      </w:rPr>
      <w:drawing>
        <wp:inline distT="0" distB="0" distL="0" distR="0" wp14:anchorId="707CBE66" wp14:editId="010E9148">
          <wp:extent cx="914400" cy="638175"/>
          <wp:effectExtent l="0" t="0" r="0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0F46C9" w14:textId="77777777" w:rsidR="00994D6B" w:rsidRDefault="0045105D">
    <w:pPr>
      <w:spacing w:after="0" w:line="240" w:lineRule="auto"/>
      <w:contextualSpacing/>
      <w:jc w:val="center"/>
      <w:rPr>
        <w:rFonts w:ascii="Arial" w:hAnsi="Arial"/>
        <w:b/>
        <w:sz w:val="26"/>
        <w:szCs w:val="26"/>
      </w:rPr>
    </w:pPr>
    <w:r>
      <w:rPr>
        <w:rFonts w:ascii="Arial" w:hAnsi="Arial"/>
        <w:b/>
        <w:sz w:val="26"/>
        <w:szCs w:val="26"/>
      </w:rPr>
      <w:t>Instituto de Previdência dos Servidores Públicos do Município de Cariacica</w:t>
    </w:r>
  </w:p>
  <w:p w14:paraId="471B58D9" w14:textId="77777777" w:rsidR="00994D6B" w:rsidRDefault="00994D6B">
    <w:pPr>
      <w:pStyle w:val="Cabealho"/>
      <w:spacing w:after="0" w:line="240" w:lineRule="auto"/>
      <w:jc w:val="center"/>
      <w:rPr>
        <w:rFonts w:ascii="Arial" w:hAnsi="Arial"/>
        <w:b/>
        <w:sz w:val="16"/>
        <w:szCs w:val="16"/>
      </w:rPr>
    </w:pPr>
  </w:p>
  <w:p w14:paraId="7F2C4FC6" w14:textId="77777777" w:rsidR="00994D6B" w:rsidRDefault="0045105D">
    <w:pPr>
      <w:pStyle w:val="Cabealho"/>
      <w:jc w:val="center"/>
    </w:pPr>
    <w:r>
      <w:rPr>
        <w:rFonts w:ascii="Arial" w:hAnsi="Arial"/>
        <w:b/>
        <w:sz w:val="28"/>
        <w:szCs w:val="28"/>
      </w:rPr>
      <w:t>COMITÊ DE INVESTIMENTOS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A724C"/>
    <w:multiLevelType w:val="hybridMultilevel"/>
    <w:tmpl w:val="181C6A4E"/>
    <w:lvl w:ilvl="0" w:tplc="B1A224D4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 w:tplc="63004F7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3F27EC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B6C0D1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130083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8F4744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78E9F8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37A53F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9FA133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63C4345A"/>
    <w:multiLevelType w:val="hybridMultilevel"/>
    <w:tmpl w:val="55D0A7E2"/>
    <w:lvl w:ilvl="0" w:tplc="2096715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70BA15B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CF6CE82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CE705C8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A65A3CB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5AE80EE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6BBA1D6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C6BEE6E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2F08A74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68765048">
    <w:abstractNumId w:val="0"/>
  </w:num>
  <w:num w:numId="2" w16cid:durableId="4627680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D6B"/>
    <w:rsid w:val="00024D4E"/>
    <w:rsid w:val="000620FC"/>
    <w:rsid w:val="00070354"/>
    <w:rsid w:val="000848BF"/>
    <w:rsid w:val="0009659C"/>
    <w:rsid w:val="000B7BA7"/>
    <w:rsid w:val="000C195D"/>
    <w:rsid w:val="000D3A87"/>
    <w:rsid w:val="000F0038"/>
    <w:rsid w:val="00100A4E"/>
    <w:rsid w:val="00132BE5"/>
    <w:rsid w:val="00144D4F"/>
    <w:rsid w:val="00150744"/>
    <w:rsid w:val="00163F8E"/>
    <w:rsid w:val="00180A40"/>
    <w:rsid w:val="001A6AAB"/>
    <w:rsid w:val="001B6064"/>
    <w:rsid w:val="001D1DA1"/>
    <w:rsid w:val="001D30A3"/>
    <w:rsid w:val="001F63B8"/>
    <w:rsid w:val="002023F2"/>
    <w:rsid w:val="00204345"/>
    <w:rsid w:val="00251496"/>
    <w:rsid w:val="00255710"/>
    <w:rsid w:val="002861DD"/>
    <w:rsid w:val="00295D93"/>
    <w:rsid w:val="002B4CA0"/>
    <w:rsid w:val="002C2826"/>
    <w:rsid w:val="002F6FFA"/>
    <w:rsid w:val="00323728"/>
    <w:rsid w:val="00324796"/>
    <w:rsid w:val="003276AF"/>
    <w:rsid w:val="00334B7F"/>
    <w:rsid w:val="00342284"/>
    <w:rsid w:val="00342CBC"/>
    <w:rsid w:val="00373305"/>
    <w:rsid w:val="0037719E"/>
    <w:rsid w:val="00397A92"/>
    <w:rsid w:val="003B08B4"/>
    <w:rsid w:val="003B1415"/>
    <w:rsid w:val="003C1440"/>
    <w:rsid w:val="003C2567"/>
    <w:rsid w:val="003D1D53"/>
    <w:rsid w:val="004304F1"/>
    <w:rsid w:val="004417F1"/>
    <w:rsid w:val="0045105D"/>
    <w:rsid w:val="0047353F"/>
    <w:rsid w:val="004740CB"/>
    <w:rsid w:val="0049472E"/>
    <w:rsid w:val="004950D1"/>
    <w:rsid w:val="004C745E"/>
    <w:rsid w:val="004D7817"/>
    <w:rsid w:val="00501523"/>
    <w:rsid w:val="00507A0F"/>
    <w:rsid w:val="00510B24"/>
    <w:rsid w:val="005140F6"/>
    <w:rsid w:val="00522F02"/>
    <w:rsid w:val="005469F8"/>
    <w:rsid w:val="00550BEC"/>
    <w:rsid w:val="005569C5"/>
    <w:rsid w:val="005640F8"/>
    <w:rsid w:val="0059007A"/>
    <w:rsid w:val="005A0444"/>
    <w:rsid w:val="005A4BD5"/>
    <w:rsid w:val="005B2577"/>
    <w:rsid w:val="005C2899"/>
    <w:rsid w:val="005D4C24"/>
    <w:rsid w:val="00613409"/>
    <w:rsid w:val="006204D3"/>
    <w:rsid w:val="00635608"/>
    <w:rsid w:val="00654694"/>
    <w:rsid w:val="006B2DD4"/>
    <w:rsid w:val="006B7FE9"/>
    <w:rsid w:val="006C40B1"/>
    <w:rsid w:val="006E0934"/>
    <w:rsid w:val="006E6792"/>
    <w:rsid w:val="0073033F"/>
    <w:rsid w:val="00747456"/>
    <w:rsid w:val="00754787"/>
    <w:rsid w:val="00754DB2"/>
    <w:rsid w:val="007819CF"/>
    <w:rsid w:val="007A07D3"/>
    <w:rsid w:val="007A21FF"/>
    <w:rsid w:val="007B385F"/>
    <w:rsid w:val="007C19E8"/>
    <w:rsid w:val="007C7DF9"/>
    <w:rsid w:val="007F23AC"/>
    <w:rsid w:val="007F37F4"/>
    <w:rsid w:val="007F76E3"/>
    <w:rsid w:val="00816328"/>
    <w:rsid w:val="008273F6"/>
    <w:rsid w:val="008362C3"/>
    <w:rsid w:val="00843A5A"/>
    <w:rsid w:val="00843EBF"/>
    <w:rsid w:val="00855914"/>
    <w:rsid w:val="00881443"/>
    <w:rsid w:val="00882C9C"/>
    <w:rsid w:val="008C647B"/>
    <w:rsid w:val="008D423B"/>
    <w:rsid w:val="008F1108"/>
    <w:rsid w:val="009000FF"/>
    <w:rsid w:val="0094092A"/>
    <w:rsid w:val="00945F6A"/>
    <w:rsid w:val="00994D6B"/>
    <w:rsid w:val="0099546C"/>
    <w:rsid w:val="009B7444"/>
    <w:rsid w:val="009C2F22"/>
    <w:rsid w:val="00A04EBD"/>
    <w:rsid w:val="00A16CF3"/>
    <w:rsid w:val="00A25B3F"/>
    <w:rsid w:val="00A30E2D"/>
    <w:rsid w:val="00A54BBC"/>
    <w:rsid w:val="00A62691"/>
    <w:rsid w:val="00A75F29"/>
    <w:rsid w:val="00A923B8"/>
    <w:rsid w:val="00AC2ECC"/>
    <w:rsid w:val="00AD7EB2"/>
    <w:rsid w:val="00AE3F69"/>
    <w:rsid w:val="00AE5268"/>
    <w:rsid w:val="00AE57B3"/>
    <w:rsid w:val="00B035BE"/>
    <w:rsid w:val="00B12C2D"/>
    <w:rsid w:val="00B257D7"/>
    <w:rsid w:val="00B43D67"/>
    <w:rsid w:val="00B4581F"/>
    <w:rsid w:val="00B54EE8"/>
    <w:rsid w:val="00B717C5"/>
    <w:rsid w:val="00B743FA"/>
    <w:rsid w:val="00B86879"/>
    <w:rsid w:val="00B868D7"/>
    <w:rsid w:val="00BD3CA0"/>
    <w:rsid w:val="00BD7901"/>
    <w:rsid w:val="00C03D07"/>
    <w:rsid w:val="00C13FB7"/>
    <w:rsid w:val="00C22C47"/>
    <w:rsid w:val="00C362A2"/>
    <w:rsid w:val="00C5086B"/>
    <w:rsid w:val="00C97BB1"/>
    <w:rsid w:val="00CB1499"/>
    <w:rsid w:val="00D12F6A"/>
    <w:rsid w:val="00D30B57"/>
    <w:rsid w:val="00D50824"/>
    <w:rsid w:val="00D528C8"/>
    <w:rsid w:val="00D61CE2"/>
    <w:rsid w:val="00D74262"/>
    <w:rsid w:val="00D80DED"/>
    <w:rsid w:val="00D955AA"/>
    <w:rsid w:val="00DF0CA7"/>
    <w:rsid w:val="00ED105F"/>
    <w:rsid w:val="00ED375E"/>
    <w:rsid w:val="00EF0E39"/>
    <w:rsid w:val="00EF5BF9"/>
    <w:rsid w:val="00F00D31"/>
    <w:rsid w:val="00F350CE"/>
    <w:rsid w:val="00F878E1"/>
    <w:rsid w:val="00F909C2"/>
    <w:rsid w:val="00F93343"/>
    <w:rsid w:val="00FB1AFC"/>
    <w:rsid w:val="00FC5D80"/>
    <w:rsid w:val="00FC636A"/>
    <w:rsid w:val="00FD514F"/>
    <w:rsid w:val="00FE12C9"/>
    <w:rsid w:val="00FE7F05"/>
    <w:rsid w:val="00FF4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0A4D8"/>
  <w15:docId w15:val="{DFA8D20F-42E0-4C9D-A422-EA84409DF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Ttulo2">
    <w:name w:val="heading 2"/>
    <w:basedOn w:val="Normal"/>
    <w:link w:val="Ttulo2Char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Ttulo3Char">
    <w:name w:val="Título 3 Char"/>
    <w:link w:val="Ttulo3"/>
    <w:uiPriority w:val="9"/>
    <w:rPr>
      <w:rFonts w:ascii="Arial" w:eastAsia="Arial" w:hAnsi="Arial" w:cs="Arial"/>
      <w:sz w:val="30"/>
      <w:szCs w:val="30"/>
    </w:rPr>
  </w:style>
  <w:style w:type="character" w:customStyle="1" w:styleId="Ttulo4Char">
    <w:name w:val="Título 4 Char"/>
    <w:link w:val="Ttu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tulo5Char">
    <w:name w:val="Título 5 Char"/>
    <w:link w:val="Ttu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tulo6Char">
    <w:name w:val="Título 6 Char"/>
    <w:link w:val="Ttu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tulo7Char">
    <w:name w:val="Título 7 Char"/>
    <w:link w:val="Ttu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tulo8Char">
    <w:name w:val="Título 8 Char"/>
    <w:link w:val="Ttu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tulo9Char">
    <w:name w:val="Título 9 Char"/>
    <w:link w:val="Ttulo9"/>
    <w:uiPriority w:val="9"/>
    <w:rPr>
      <w:rFonts w:ascii="Arial" w:eastAsia="Arial" w:hAnsi="Arial" w:cs="Arial"/>
      <w:i/>
      <w:iCs/>
      <w:sz w:val="21"/>
      <w:szCs w:val="21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SemEspaamento">
    <w:name w:val="No Spacing"/>
    <w:rPr>
      <w:rFonts w:ascii="Calibri" w:eastAsia="Calibri" w:hAnsi="Calibri"/>
      <w:sz w:val="22"/>
      <w:szCs w:val="22"/>
      <w:lang w:eastAsia="zh-CN"/>
    </w:rPr>
  </w:style>
  <w:style w:type="paragraph" w:styleId="Ttulo">
    <w:name w:val="Title"/>
    <w:basedOn w:val="Normal"/>
    <w:next w:val="Normal"/>
    <w:link w:val="TtuloChar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TtuloChar">
    <w:name w:val="Título Char"/>
    <w:link w:val="Ttulo"/>
    <w:uiPriority w:val="10"/>
    <w:rPr>
      <w:sz w:val="48"/>
      <w:szCs w:val="48"/>
    </w:rPr>
  </w:style>
  <w:style w:type="paragraph" w:styleId="Subttulo">
    <w:name w:val="Subtitle"/>
    <w:basedOn w:val="Normal"/>
    <w:next w:val="Normal"/>
    <w:link w:val="SubttuloChar"/>
    <w:uiPriority w:val="11"/>
    <w:qFormat/>
    <w:pPr>
      <w:spacing w:before="200"/>
    </w:pPr>
    <w:rPr>
      <w:sz w:val="24"/>
      <w:szCs w:val="24"/>
    </w:rPr>
  </w:style>
  <w:style w:type="character" w:customStyle="1" w:styleId="SubttuloChar">
    <w:name w:val="Subtítulo Char"/>
    <w:link w:val="Subttulo"/>
    <w:uiPriority w:val="11"/>
    <w:rPr>
      <w:sz w:val="24"/>
      <w:szCs w:val="24"/>
    </w:rPr>
  </w:style>
  <w:style w:type="paragraph" w:styleId="Citao">
    <w:name w:val="Quote"/>
    <w:basedOn w:val="Normal"/>
    <w:next w:val="Normal"/>
    <w:link w:val="CitaoChar"/>
    <w:uiPriority w:val="29"/>
    <w:qFormat/>
    <w:pPr>
      <w:ind w:left="720" w:right="720"/>
    </w:pPr>
    <w:rPr>
      <w:i/>
    </w:rPr>
  </w:style>
  <w:style w:type="character" w:customStyle="1" w:styleId="CitaoChar">
    <w:name w:val="Citação Char"/>
    <w:link w:val="Citao"/>
    <w:uiPriority w:val="29"/>
    <w:rPr>
      <w:i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oIntensaChar">
    <w:name w:val="Citação Intensa Char"/>
    <w:link w:val="CitaoIntensa"/>
    <w:uiPriority w:val="30"/>
    <w:rPr>
      <w:i/>
    </w:rPr>
  </w:style>
  <w:style w:type="paragraph" w:styleId="Cabealho">
    <w:name w:val="header"/>
    <w:basedOn w:val="Normal"/>
    <w:link w:val="CabealhoChar"/>
    <w:pPr>
      <w:tabs>
        <w:tab w:val="center" w:pos="4252"/>
        <w:tab w:val="right" w:pos="8504"/>
      </w:tabs>
    </w:pPr>
  </w:style>
  <w:style w:type="character" w:customStyle="1" w:styleId="HeaderChar">
    <w:name w:val="Header Char"/>
    <w:uiPriority w:val="99"/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</w:pPr>
  </w:style>
  <w:style w:type="character" w:customStyle="1" w:styleId="FooterChar">
    <w:name w:val="Footer Char"/>
    <w:uiPriority w:val="99"/>
  </w:style>
  <w:style w:type="paragraph" w:styleId="Legenda">
    <w:name w:val="caption"/>
    <w:basedOn w:val="Normal"/>
    <w:pPr>
      <w:suppressLineNumbers/>
      <w:spacing w:before="120" w:after="120"/>
    </w:pPr>
    <w:rPr>
      <w:i/>
      <w:iCs/>
      <w:sz w:val="24"/>
      <w:szCs w:val="24"/>
    </w:rPr>
  </w:style>
  <w:style w:type="character" w:customStyle="1" w:styleId="CaptionChar">
    <w:name w:val="Caption Char"/>
    <w:uiPriority w:val="99"/>
  </w:style>
  <w:style w:type="table" w:styleId="Tabelacomgrade">
    <w:name w:val="Table Grid"/>
    <w:basedOn w:val="Tabelanormal"/>
    <w:rPr>
      <w:rFonts w:ascii="Calibri" w:eastAsia="Calibri" w:hAnsi="Calibri"/>
      <w:sz w:val="22"/>
      <w:szCs w:val="22"/>
      <w:lang w:eastAsia="en-US"/>
    </w:rPr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implesTabela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implesTabela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implesTabela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Simples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Simples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deGrade1Clara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Grad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Grad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Grad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Grade5Escura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TabeladeGrade6Colorida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Grade7Colorida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Lista1Clara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deLista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Lista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Lista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Lista5Escura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TabeladeLista6Colorida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Lista7Colorida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extodenotaderodap">
    <w:name w:val="footnote text"/>
    <w:basedOn w:val="Normal"/>
    <w:link w:val="TextodenotaderodapChar1"/>
    <w:pPr>
      <w:spacing w:after="0" w:line="240" w:lineRule="auto"/>
    </w:pPr>
    <w:rPr>
      <w:sz w:val="20"/>
      <w:szCs w:val="20"/>
    </w:rPr>
  </w:style>
  <w:style w:type="character" w:customStyle="1" w:styleId="TextodenotaderodapChar1">
    <w:name w:val="Texto de nota de rodapé Char1"/>
    <w:link w:val="Textodenotaderodap"/>
    <w:uiPriority w:val="99"/>
    <w:rPr>
      <w:sz w:val="18"/>
    </w:rPr>
  </w:style>
  <w:style w:type="character" w:styleId="Refdenotaderodap">
    <w:name w:val="footnote reference"/>
    <w:semiHidden/>
    <w:rPr>
      <w:vertAlign w:val="superscript"/>
    </w:rPr>
  </w:style>
  <w:style w:type="paragraph" w:styleId="Textodenotadefim">
    <w:name w:val="endnote text"/>
    <w:basedOn w:val="Normal"/>
    <w:link w:val="TextodenotadefimChar"/>
    <w:semiHidden/>
    <w:rPr>
      <w:sz w:val="20"/>
      <w:szCs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Refdenotadefim">
    <w:name w:val="endnote reference"/>
    <w:semiHidden/>
    <w:rPr>
      <w:vertAlign w:val="superscript"/>
    </w:rPr>
  </w:style>
  <w:style w:type="paragraph" w:styleId="Sumrio1">
    <w:name w:val="toc 1"/>
    <w:basedOn w:val="Normal"/>
    <w:next w:val="Normal"/>
    <w:uiPriority w:val="39"/>
    <w:unhideWhenUsed/>
    <w:pPr>
      <w:spacing w:after="57"/>
    </w:pPr>
  </w:style>
  <w:style w:type="paragraph" w:styleId="Sumrio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Sumrio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Sumrio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Sumrio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Sumrio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Sumrio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Sumrio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Sumrio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CabealhodoSumrio">
    <w:name w:val="TOC Heading"/>
    <w:uiPriority w:val="39"/>
    <w:unhideWhenUsed/>
    <w:rPr>
      <w:lang w:eastAsia="zh-CN"/>
    </w:rPr>
  </w:style>
  <w:style w:type="paragraph" w:styleId="ndicedeilustraes">
    <w:name w:val="table of figures"/>
    <w:basedOn w:val="Normal"/>
    <w:next w:val="Normal"/>
    <w:uiPriority w:val="99"/>
    <w:unhideWhenUsed/>
    <w:pPr>
      <w:spacing w:after="0"/>
    </w:pPr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hAnsi="Tahoma"/>
      <w:sz w:val="16"/>
      <w:szCs w:val="16"/>
    </w:rPr>
  </w:style>
  <w:style w:type="character" w:customStyle="1" w:styleId="TextodenotaderodapChar">
    <w:name w:val="Texto de nota de rodapé Char"/>
    <w:rPr>
      <w:sz w:val="20"/>
      <w:szCs w:val="20"/>
    </w:rPr>
  </w:style>
  <w:style w:type="character" w:customStyle="1" w:styleId="Caracteresdenotaderodap">
    <w:name w:val="Caracteres de nota de rodapé"/>
    <w:rPr>
      <w:vertAlign w:val="superscript"/>
    </w:rPr>
  </w:style>
  <w:style w:type="character" w:customStyle="1" w:styleId="apple-converted-space">
    <w:name w:val="apple-converted-space"/>
    <w:basedOn w:val="Fontepargpadro1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</w:style>
  <w:style w:type="paragraph" w:customStyle="1" w:styleId="ndice">
    <w:name w:val="Índice"/>
    <w:basedOn w:val="Normal"/>
    <w:pPr>
      <w:suppressLineNumbers/>
    </w:pPr>
  </w:style>
  <w:style w:type="paragraph" w:styleId="Textodebalo">
    <w:name w:val="Balloon Text"/>
    <w:basedOn w:val="Normal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Default">
    <w:name w:val="Default"/>
    <w:rPr>
      <w:rFonts w:ascii="Calibri" w:eastAsia="Calibri" w:hAnsi="Calibri"/>
      <w:color w:val="000000"/>
      <w:sz w:val="24"/>
      <w:szCs w:val="24"/>
      <w:lang w:eastAsia="zh-CN"/>
    </w:rPr>
  </w:style>
  <w:style w:type="character" w:styleId="Hyperlink">
    <w:name w:val="Hyperlink"/>
    <w:rPr>
      <w:color w:val="0000FF"/>
      <w:u w:val="single"/>
    </w:rPr>
  </w:style>
  <w:style w:type="character" w:customStyle="1" w:styleId="Ttulo2Char">
    <w:name w:val="Título 2 Char"/>
    <w:link w:val="Ttulo2"/>
    <w:rPr>
      <w:b/>
      <w:bCs/>
      <w:sz w:val="36"/>
      <w:szCs w:val="36"/>
    </w:rPr>
  </w:style>
  <w:style w:type="character" w:customStyle="1" w:styleId="CabealhoChar">
    <w:name w:val="Cabeçalho Char"/>
    <w:link w:val="Cabealho"/>
    <w:rPr>
      <w:rFonts w:ascii="Calibri" w:eastAsia="Calibri" w:hAnsi="Calibri"/>
      <w:sz w:val="22"/>
      <w:szCs w:val="22"/>
      <w:lang w:eastAsia="zh-CN"/>
    </w:rPr>
  </w:style>
  <w:style w:type="character" w:customStyle="1" w:styleId="RodapChar">
    <w:name w:val="Rodapé Char"/>
    <w:link w:val="Rodap"/>
    <w:rPr>
      <w:rFonts w:ascii="Calibri" w:eastAsia="Calibri" w:hAnsi="Calibri"/>
      <w:sz w:val="22"/>
      <w:szCs w:val="22"/>
      <w:lang w:eastAsia="zh-CN"/>
    </w:rPr>
  </w:style>
  <w:style w:type="character" w:styleId="Refdecomentrio">
    <w:name w:val="annotation reference"/>
    <w:semiHidden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rPr>
      <w:sz w:val="20"/>
      <w:szCs w:val="20"/>
    </w:rPr>
  </w:style>
  <w:style w:type="character" w:customStyle="1" w:styleId="TextodecomentrioChar">
    <w:name w:val="Texto de comentário Char"/>
    <w:link w:val="Textodecomentrio"/>
    <w:semiHidden/>
    <w:rPr>
      <w:rFonts w:ascii="Calibri" w:eastAsia="Calibri" w:hAnsi="Calibri"/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rPr>
      <w:b/>
      <w:bCs/>
    </w:rPr>
  </w:style>
  <w:style w:type="character" w:customStyle="1" w:styleId="AssuntodocomentrioChar">
    <w:name w:val="Assunto do comentário Char"/>
    <w:link w:val="Assuntodocomentrio"/>
    <w:semiHidden/>
    <w:rPr>
      <w:rFonts w:ascii="Calibri" w:eastAsia="Calibri" w:hAnsi="Calibri"/>
      <w:b/>
      <w:bCs/>
      <w:lang w:eastAsia="zh-CN"/>
    </w:rPr>
  </w:style>
  <w:style w:type="character" w:customStyle="1" w:styleId="TextodenotadefimChar">
    <w:name w:val="Texto de nota de fim Char"/>
    <w:link w:val="Textodenotadefim"/>
    <w:semiHidden/>
    <w:rPr>
      <w:rFonts w:ascii="Calibri" w:eastAsia="Calibri" w:hAnsi="Calibri"/>
      <w:lang w:eastAsia="zh-CN"/>
    </w:rPr>
  </w:style>
  <w:style w:type="character" w:styleId="Forte">
    <w:name w:val="Strong"/>
    <w:rPr>
      <w:b/>
      <w:bCs/>
    </w:rPr>
  </w:style>
  <w:style w:type="character" w:styleId="nfase">
    <w:name w:val="Emphasis"/>
    <w:uiPriority w:val="20"/>
    <w:qFormat/>
    <w:rsid w:val="00EF0E39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754D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4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pc.cariacica.es.gov.br" TargetMode="External"/><Relationship Id="rId1" Type="http://schemas.openxmlformats.org/officeDocument/2006/relationships/hyperlink" Target="mailto:comunica&#231;&#227;oipc@ipccariacica.e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785</Words>
  <Characters>4245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Rodrigo Garcia Giori</cp:lastModifiedBy>
  <cp:revision>23</cp:revision>
  <dcterms:created xsi:type="dcterms:W3CDTF">2023-04-23T15:55:00Z</dcterms:created>
  <dcterms:modified xsi:type="dcterms:W3CDTF">2023-04-24T14:40:00Z</dcterms:modified>
</cp:coreProperties>
</file>